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As filed with the Securities and Exchange Commission on May 18, 2026</w:t>
      </w:r>
    </w:p>
    <w:p>
      <w:pPr>
        <w:spacing w:after="0" w:line="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Registration No. 333-291393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64770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4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-228600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4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-228600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TO</w:t>
      </w:r>
    </w:p>
    <w:p>
      <w:pPr>
        <w:jc w:val="center"/>
        <w:ind w:right="-119"/>
        <w:spacing w:after="0" w:line="237" w:lineRule="auto"/>
        <w:rPr>
          <w:sz w:val="20"/>
          <w:szCs w:val="20"/>
          <w:color w:val="auto"/>
        </w:rPr>
      </w:pPr>
      <w:r>
        <w:rPr>
          <w:rFonts w:ascii="Times New Roman" w:cs="Times New Roman" w:eastAsia="Times New Roman" w:hAnsi="Times New Roman"/>
          <w:sz w:val="32"/>
          <w:szCs w:val="32"/>
          <w:b w:val="1"/>
          <w:bCs w:val="1"/>
          <w:color w:val="auto"/>
        </w:rPr>
        <w:t>FORM S-3</w:t>
      </w: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REGISTRATION STATEMENT</w:t>
      </w:r>
    </w:p>
    <w:tbl>
      <w:tblPr>
        <w:tblLayout w:type="fixed"/>
        <w:tblInd w:w="1960" w:type="dxa"/>
        <w:tblCellMar>
          <w:top w:w="0" w:type="dxa"/>
          <w:left w:w="0" w:type="dxa"/>
          <w:bottom w:w="0" w:type="dxa"/>
          <w:right w:w="0" w:type="dxa"/>
        </w:tblCellMar>
      </w:tblPr>
      <w:tr>
        <w:trPr>
          <w:trHeight w:val="213"/>
        </w:trPr>
        <w:tc>
          <w:tcPr>
            <w:tcW w:w="1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720" w:type="dxa"/>
            <w:vAlign w:val="bottom"/>
            <w:gridSpan w:val="2"/>
          </w:tcPr>
          <w:p>
            <w:pPr>
              <w:jc w:val="center"/>
              <w:ind w:right="2328"/>
              <w:spacing w:after="0" w:line="213" w:lineRule="exact"/>
              <w:rPr>
                <w:sz w:val="20"/>
                <w:szCs w:val="20"/>
                <w:color w:val="auto"/>
              </w:rPr>
            </w:pPr>
            <w:r>
              <w:rPr>
                <w:rFonts w:ascii="Times New Roman" w:cs="Times New Roman" w:eastAsia="Times New Roman" w:hAnsi="Times New Roman"/>
                <w:sz w:val="22"/>
                <w:szCs w:val="22"/>
                <w:b w:val="1"/>
                <w:bCs w:val="1"/>
                <w:i w:val="1"/>
                <w:iCs w:val="1"/>
                <w:color w:val="auto"/>
                <w:w w:val="98"/>
              </w:rPr>
              <w:t>UNDER</w:t>
            </w:r>
          </w:p>
        </w:tc>
        <w:tc>
          <w:tcPr>
            <w:tcW w:w="0" w:type="dxa"/>
            <w:vAlign w:val="bottom"/>
          </w:tcPr>
          <w:p>
            <w:pPr>
              <w:spacing w:after="0"/>
              <w:rPr>
                <w:sz w:val="1"/>
                <w:szCs w:val="1"/>
                <w:color w:val="auto"/>
              </w:rPr>
            </w:pPr>
          </w:p>
        </w:tc>
      </w:tr>
      <w:tr>
        <w:trPr>
          <w:trHeight w:val="288"/>
        </w:trPr>
        <w:tc>
          <w:tcPr>
            <w:tcW w:w="1980" w:type="dxa"/>
            <w:vAlign w:val="bottom"/>
          </w:tcPr>
          <w:p>
            <w:pPr>
              <w:spacing w:after="0"/>
              <w:rPr>
                <w:sz w:val="24"/>
                <w:szCs w:val="24"/>
                <w:color w:val="auto"/>
              </w:rPr>
            </w:pPr>
          </w:p>
        </w:tc>
        <w:tc>
          <w:tcPr>
            <w:tcW w:w="5240" w:type="dxa"/>
            <w:vAlign w:val="bottom"/>
            <w:gridSpan w:val="3"/>
          </w:tcPr>
          <w:p>
            <w:pPr>
              <w:jc w:val="center"/>
              <w:ind w:right="1808"/>
              <w:spacing w:after="0"/>
              <w:rPr>
                <w:sz w:val="20"/>
                <w:szCs w:val="20"/>
                <w:color w:val="auto"/>
              </w:rPr>
            </w:pPr>
            <w:r>
              <w:rPr>
                <w:rFonts w:ascii="Times New Roman" w:cs="Times New Roman" w:eastAsia="Times New Roman" w:hAnsi="Times New Roman"/>
                <w:sz w:val="22"/>
                <w:szCs w:val="22"/>
                <w:b w:val="1"/>
                <w:bCs w:val="1"/>
                <w:i w:val="1"/>
                <w:iCs w:val="1"/>
                <w:color w:val="auto"/>
                <w:w w:val="98"/>
              </w:rPr>
              <w:t>THE SECURITIES ACT OF 1933</w:t>
            </w:r>
          </w:p>
        </w:tc>
        <w:tc>
          <w:tcPr>
            <w:tcW w:w="0" w:type="dxa"/>
            <w:vAlign w:val="bottom"/>
          </w:tcPr>
          <w:p>
            <w:pPr>
              <w:spacing w:after="0"/>
              <w:rPr>
                <w:sz w:val="1"/>
                <w:szCs w:val="1"/>
                <w:color w:val="auto"/>
              </w:rPr>
            </w:pPr>
          </w:p>
        </w:tc>
      </w:tr>
      <w:tr>
        <w:trPr>
          <w:trHeight w:val="150"/>
        </w:trPr>
        <w:tc>
          <w:tcPr>
            <w:tcW w:w="1980" w:type="dxa"/>
            <w:vAlign w:val="bottom"/>
          </w:tcPr>
          <w:p>
            <w:pPr>
              <w:spacing w:after="0"/>
              <w:rPr>
                <w:sz w:val="13"/>
                <w:szCs w:val="13"/>
                <w:color w:val="auto"/>
              </w:rPr>
            </w:pPr>
          </w:p>
        </w:tc>
        <w:tc>
          <w:tcPr>
            <w:tcW w:w="520" w:type="dxa"/>
            <w:vAlign w:val="bottom"/>
            <w:vMerge w:val="restart"/>
          </w:tcPr>
          <w:p>
            <w:pPr>
              <w:spacing w:after="0"/>
              <w:rPr>
                <w:sz w:val="13"/>
                <w:szCs w:val="13"/>
                <w:color w:val="auto"/>
              </w:rPr>
            </w:pPr>
          </w:p>
        </w:tc>
        <w:tc>
          <w:tcPr>
            <w:tcW w:w="2320" w:type="dxa"/>
            <w:vAlign w:val="bottom"/>
            <w:tcBorders>
              <w:bottom w:val="single" w:sz="8" w:color="auto"/>
            </w:tcBorders>
          </w:tcPr>
          <w:p>
            <w:pPr>
              <w:spacing w:after="0"/>
              <w:rPr>
                <w:sz w:val="13"/>
                <w:szCs w:val="13"/>
                <w:color w:val="auto"/>
              </w:rPr>
            </w:pPr>
          </w:p>
        </w:tc>
        <w:tc>
          <w:tcPr>
            <w:tcW w:w="24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495"/>
        </w:trPr>
        <w:tc>
          <w:tcPr>
            <w:tcW w:w="1980" w:type="dxa"/>
            <w:vAlign w:val="bottom"/>
          </w:tcPr>
          <w:p>
            <w:pPr>
              <w:spacing w:after="0"/>
              <w:rPr>
                <w:sz w:val="24"/>
                <w:szCs w:val="24"/>
                <w:color w:val="auto"/>
              </w:rPr>
            </w:pPr>
          </w:p>
        </w:tc>
        <w:tc>
          <w:tcPr>
            <w:tcW w:w="520" w:type="dxa"/>
            <w:vAlign w:val="bottom"/>
            <w:vMerge w:val="continue"/>
          </w:tcPr>
          <w:p>
            <w:pPr>
              <w:spacing w:after="0"/>
              <w:rPr>
                <w:sz w:val="24"/>
                <w:szCs w:val="24"/>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43"/>
                <w:szCs w:val="43"/>
                <w:b w:val="1"/>
                <w:bCs w:val="1"/>
                <w:color w:val="auto"/>
                <w:w w:val="89"/>
              </w:rPr>
              <w:t>IN8BIO, INC.</w:t>
            </w:r>
          </w:p>
        </w:tc>
        <w:tc>
          <w:tcPr>
            <w:tcW w:w="24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980" w:type="dxa"/>
            <w:vAlign w:val="bottom"/>
          </w:tcPr>
          <w:p>
            <w:pPr>
              <w:spacing w:after="0"/>
              <w:rPr>
                <w:sz w:val="16"/>
                <w:szCs w:val="16"/>
                <w:color w:val="auto"/>
              </w:rPr>
            </w:pPr>
          </w:p>
        </w:tc>
        <w:tc>
          <w:tcPr>
            <w:tcW w:w="5240" w:type="dxa"/>
            <w:vAlign w:val="bottom"/>
            <w:gridSpan w:val="3"/>
          </w:tcPr>
          <w:p>
            <w:pPr>
              <w:jc w:val="center"/>
              <w:ind w:right="1788"/>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0" w:type="dxa"/>
            <w:vAlign w:val="bottom"/>
          </w:tcPr>
          <w:p>
            <w:pPr>
              <w:spacing w:after="0"/>
              <w:rPr>
                <w:sz w:val="1"/>
                <w:szCs w:val="1"/>
                <w:color w:val="auto"/>
              </w:rPr>
            </w:pPr>
          </w:p>
        </w:tc>
      </w:tr>
      <w:tr>
        <w:trPr>
          <w:trHeight w:val="145"/>
        </w:trPr>
        <w:tc>
          <w:tcPr>
            <w:tcW w:w="19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320" w:type="dxa"/>
            <w:vAlign w:val="bottom"/>
            <w:tcBorders>
              <w:bottom w:val="single" w:sz="8" w:color="auto"/>
            </w:tcBorders>
          </w:tcPr>
          <w:p>
            <w:pPr>
              <w:spacing w:after="0"/>
              <w:rPr>
                <w:sz w:val="12"/>
                <w:szCs w:val="12"/>
                <w:color w:val="auto"/>
              </w:rPr>
            </w:pPr>
          </w:p>
        </w:tc>
        <w:tc>
          <w:tcPr>
            <w:tcW w:w="2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9"/>
        </w:trPr>
        <w:tc>
          <w:tcPr>
            <w:tcW w:w="1980" w:type="dxa"/>
            <w:vAlign w:val="bottom"/>
          </w:tcPr>
          <w:p>
            <w:pPr>
              <w:jc w:val="center"/>
              <w:ind w:right="25"/>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5240" w:type="dxa"/>
            <w:vAlign w:val="bottom"/>
            <w:gridSpan w:val="3"/>
          </w:tcPr>
          <w:p>
            <w:pPr>
              <w:jc w:val="center"/>
              <w:ind w:left="3713"/>
              <w:spacing w:after="0"/>
              <w:rPr>
                <w:sz w:val="20"/>
                <w:szCs w:val="20"/>
                <w:color w:val="auto"/>
              </w:rPr>
            </w:pPr>
            <w:r>
              <w:rPr>
                <w:rFonts w:ascii="Times New Roman" w:cs="Times New Roman" w:eastAsia="Times New Roman" w:hAnsi="Times New Roman"/>
                <w:sz w:val="16"/>
                <w:szCs w:val="16"/>
                <w:b w:val="1"/>
                <w:bCs w:val="1"/>
                <w:color w:val="auto"/>
              </w:rPr>
              <w:t>82-5462585</w:t>
            </w:r>
          </w:p>
        </w:tc>
        <w:tc>
          <w:tcPr>
            <w:tcW w:w="0" w:type="dxa"/>
            <w:vAlign w:val="bottom"/>
          </w:tcPr>
          <w:p>
            <w:pPr>
              <w:spacing w:after="0"/>
              <w:rPr>
                <w:sz w:val="1"/>
                <w:szCs w:val="1"/>
                <w:color w:val="auto"/>
              </w:rPr>
            </w:pPr>
          </w:p>
        </w:tc>
      </w:tr>
      <w:tr>
        <w:trPr>
          <w:trHeight w:val="148"/>
        </w:trPr>
        <w:tc>
          <w:tcPr>
            <w:tcW w:w="1980" w:type="dxa"/>
            <w:vAlign w:val="bottom"/>
          </w:tcPr>
          <w:p>
            <w:pPr>
              <w:jc w:val="center"/>
              <w:ind w:right="25"/>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400" w:type="dxa"/>
            <w:vAlign w:val="bottom"/>
          </w:tcPr>
          <w:p>
            <w:pPr>
              <w:jc w:val="center"/>
              <w:ind w:left="888"/>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1980" w:type="dxa"/>
            <w:vAlign w:val="bottom"/>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5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400" w:type="dxa"/>
            <w:vAlign w:val="bottom"/>
          </w:tcPr>
          <w:p>
            <w:pPr>
              <w:jc w:val="center"/>
              <w:ind w:left="888"/>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c>
          <w:tcPr>
            <w:tcW w:w="0" w:type="dxa"/>
            <w:vAlign w:val="bottom"/>
          </w:tcPr>
          <w:p>
            <w:pPr>
              <w:spacing w:after="0"/>
              <w:rPr>
                <w:sz w:val="1"/>
                <w:szCs w:val="1"/>
                <w:color w:val="auto"/>
              </w:rPr>
            </w:pPr>
          </w:p>
        </w:tc>
      </w:tr>
    </w:tbl>
    <w:p>
      <w:pPr>
        <w:spacing w:after="0" w:line="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350 5th Avenue, Suite 5330</w:t>
      </w:r>
    </w:p>
    <w:p>
      <w:pPr>
        <w:spacing w:after="0" w:line="2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New York, New York 10118</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(646) 600-6438</w:t>
      </w:r>
    </w:p>
    <w:p>
      <w:pPr>
        <w:spacing w:after="0" w:line="1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90805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4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William Ho</w:t>
      </w:r>
    </w:p>
    <w:p>
      <w:pPr>
        <w:spacing w:after="0" w:line="2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Chief Executive Officer</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IN8bio, Inc.</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350 5th Avenue, Suite 5330</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New York, New York 10118</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(646) 600-6438</w:t>
      </w:r>
    </w:p>
    <w:p>
      <w:pPr>
        <w:spacing w:after="0" w:line="1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90805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45" w:lineRule="exact"/>
        <w:rPr>
          <w:sz w:val="24"/>
          <w:szCs w:val="24"/>
          <w:color w:val="auto"/>
        </w:rPr>
      </w:pPr>
    </w:p>
    <w:tbl>
      <w:tblPr>
        <w:tblLayout w:type="fixed"/>
        <w:tblInd w:w="1480" w:type="dxa"/>
        <w:tblCellMar>
          <w:top w:w="0" w:type="dxa"/>
          <w:left w:w="0" w:type="dxa"/>
          <w:bottom w:w="0" w:type="dxa"/>
          <w:right w:w="0" w:type="dxa"/>
        </w:tblCellMar>
      </w:tblPr>
      <w:tr>
        <w:trPr>
          <w:trHeight w:val="214"/>
        </w:trPr>
        <w:tc>
          <w:tcPr>
            <w:tcW w:w="3320" w:type="dxa"/>
            <w:vAlign w:val="bottom"/>
          </w:tcPr>
          <w:p>
            <w:pPr>
              <w:spacing w:after="0"/>
              <w:rPr>
                <w:sz w:val="18"/>
                <w:szCs w:val="18"/>
                <w:color w:val="auto"/>
              </w:rPr>
            </w:pPr>
          </w:p>
        </w:tc>
        <w:tc>
          <w:tcPr>
            <w:tcW w:w="4600" w:type="dxa"/>
            <w:vAlign w:val="bottom"/>
          </w:tcPr>
          <w:p>
            <w:pPr>
              <w:ind w:left="480"/>
              <w:spacing w:after="0"/>
              <w:rPr>
                <w:sz w:val="20"/>
                <w:szCs w:val="20"/>
                <w:color w:val="auto"/>
              </w:rPr>
            </w:pPr>
            <w:r>
              <w:rPr>
                <w:rFonts w:ascii="Times New Roman" w:cs="Times New Roman" w:eastAsia="Times New Roman" w:hAnsi="Times New Roman"/>
                <w:sz w:val="16"/>
                <w:szCs w:val="16"/>
                <w:b w:val="1"/>
                <w:bCs w:val="1"/>
                <w:i w:val="1"/>
                <w:iCs w:val="1"/>
                <w:color w:val="auto"/>
              </w:rPr>
              <w:t>Copies to:</w:t>
            </w:r>
          </w:p>
        </w:tc>
      </w:tr>
      <w:tr>
        <w:trPr>
          <w:trHeight w:val="233"/>
        </w:trPr>
        <w:tc>
          <w:tcPr>
            <w:tcW w:w="3320" w:type="dxa"/>
            <w:vAlign w:val="bottom"/>
          </w:tcPr>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Jaime L. Chase</w:t>
            </w:r>
          </w:p>
        </w:tc>
        <w:tc>
          <w:tcPr>
            <w:tcW w:w="4600" w:type="dxa"/>
            <w:vAlign w:val="bottom"/>
          </w:tcPr>
          <w:p>
            <w:pPr>
              <w:jc w:val="center"/>
              <w:ind w:left="2639"/>
              <w:spacing w:after="0"/>
              <w:rPr>
                <w:sz w:val="20"/>
                <w:szCs w:val="20"/>
                <w:color w:val="auto"/>
              </w:rPr>
            </w:pPr>
            <w:r>
              <w:rPr>
                <w:rFonts w:ascii="Times New Roman" w:cs="Times New Roman" w:eastAsia="Times New Roman" w:hAnsi="Times New Roman"/>
                <w:sz w:val="16"/>
                <w:szCs w:val="16"/>
                <w:b w:val="1"/>
                <w:bCs w:val="1"/>
                <w:color w:val="auto"/>
              </w:rPr>
              <w:t>Patrick McCall</w:t>
            </w:r>
          </w:p>
        </w:tc>
      </w:tr>
      <w:tr>
        <w:trPr>
          <w:trHeight w:val="203"/>
        </w:trPr>
        <w:tc>
          <w:tcPr>
            <w:tcW w:w="3320" w:type="dxa"/>
            <w:vAlign w:val="bottom"/>
          </w:tcPr>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Cooley LLP</w:t>
            </w:r>
          </w:p>
        </w:tc>
        <w:tc>
          <w:tcPr>
            <w:tcW w:w="4600" w:type="dxa"/>
            <w:vAlign w:val="bottom"/>
          </w:tcPr>
          <w:p>
            <w:pPr>
              <w:jc w:val="center"/>
              <w:ind w:left="2639"/>
              <w:spacing w:after="0"/>
              <w:rPr>
                <w:sz w:val="20"/>
                <w:szCs w:val="20"/>
                <w:color w:val="auto"/>
              </w:rPr>
            </w:pPr>
            <w:r>
              <w:rPr>
                <w:rFonts w:ascii="Times New Roman" w:cs="Times New Roman" w:eastAsia="Times New Roman" w:hAnsi="Times New Roman"/>
                <w:sz w:val="16"/>
                <w:szCs w:val="16"/>
                <w:b w:val="1"/>
                <w:bCs w:val="1"/>
                <w:color w:val="auto"/>
              </w:rPr>
              <w:t>Chief Financial Officer</w:t>
            </w:r>
          </w:p>
        </w:tc>
      </w:tr>
      <w:tr>
        <w:trPr>
          <w:trHeight w:val="203"/>
        </w:trPr>
        <w:tc>
          <w:tcPr>
            <w:tcW w:w="3320" w:type="dxa"/>
            <w:vAlign w:val="bottom"/>
          </w:tcPr>
          <w:p>
            <w:pPr>
              <w:jc w:val="center"/>
              <w:ind w:right="399"/>
              <w:spacing w:after="0"/>
              <w:rPr>
                <w:sz w:val="20"/>
                <w:szCs w:val="20"/>
                <w:color w:val="auto"/>
              </w:rPr>
            </w:pPr>
            <w:r>
              <w:rPr>
                <w:rFonts w:ascii="Times New Roman" w:cs="Times New Roman" w:eastAsia="Times New Roman" w:hAnsi="Times New Roman"/>
                <w:sz w:val="16"/>
                <w:szCs w:val="16"/>
                <w:b w:val="1"/>
                <w:bCs w:val="1"/>
                <w:color w:val="auto"/>
                <w:w w:val="99"/>
              </w:rPr>
              <w:t>1299 Pennsylvania Avenue NW, Suite 700</w:t>
            </w:r>
          </w:p>
        </w:tc>
        <w:tc>
          <w:tcPr>
            <w:tcW w:w="4600" w:type="dxa"/>
            <w:vAlign w:val="bottom"/>
          </w:tcPr>
          <w:p>
            <w:pPr>
              <w:jc w:val="center"/>
              <w:ind w:left="2639"/>
              <w:spacing w:after="0"/>
              <w:rPr>
                <w:sz w:val="20"/>
                <w:szCs w:val="20"/>
                <w:color w:val="auto"/>
              </w:rPr>
            </w:pPr>
            <w:r>
              <w:rPr>
                <w:rFonts w:ascii="Times New Roman" w:cs="Times New Roman" w:eastAsia="Times New Roman" w:hAnsi="Times New Roman"/>
                <w:sz w:val="16"/>
                <w:szCs w:val="16"/>
                <w:b w:val="1"/>
                <w:bCs w:val="1"/>
                <w:color w:val="auto"/>
              </w:rPr>
              <w:t>IN8bio, Inc.</w:t>
            </w:r>
          </w:p>
        </w:tc>
      </w:tr>
      <w:tr>
        <w:trPr>
          <w:trHeight w:val="203"/>
        </w:trPr>
        <w:tc>
          <w:tcPr>
            <w:tcW w:w="3320" w:type="dxa"/>
            <w:vAlign w:val="bottom"/>
          </w:tcPr>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Washington, D.C. 20004-2400</w:t>
            </w:r>
          </w:p>
        </w:tc>
        <w:tc>
          <w:tcPr>
            <w:tcW w:w="4600" w:type="dxa"/>
            <w:vAlign w:val="bottom"/>
          </w:tcPr>
          <w:p>
            <w:pPr>
              <w:jc w:val="center"/>
              <w:ind w:left="2639"/>
              <w:spacing w:after="0"/>
              <w:rPr>
                <w:sz w:val="20"/>
                <w:szCs w:val="20"/>
                <w:color w:val="auto"/>
              </w:rPr>
            </w:pPr>
            <w:r>
              <w:rPr>
                <w:rFonts w:ascii="Times New Roman" w:cs="Times New Roman" w:eastAsia="Times New Roman" w:hAnsi="Times New Roman"/>
                <w:sz w:val="16"/>
                <w:szCs w:val="16"/>
                <w:b w:val="1"/>
                <w:bCs w:val="1"/>
                <w:color w:val="auto"/>
                <w:w w:val="99"/>
              </w:rPr>
              <w:t>350 5th Avenue, Suite 5330</w:t>
            </w:r>
          </w:p>
        </w:tc>
      </w:tr>
      <w:tr>
        <w:trPr>
          <w:trHeight w:val="203"/>
        </w:trPr>
        <w:tc>
          <w:tcPr>
            <w:tcW w:w="3320" w:type="dxa"/>
            <w:vAlign w:val="bottom"/>
          </w:tcPr>
          <w:p>
            <w:pPr>
              <w:jc w:val="center"/>
              <w:ind w:right="399"/>
              <w:spacing w:after="0"/>
              <w:rPr>
                <w:sz w:val="20"/>
                <w:szCs w:val="20"/>
                <w:color w:val="auto"/>
              </w:rPr>
            </w:pPr>
            <w:r>
              <w:rPr>
                <w:rFonts w:ascii="Times New Roman" w:cs="Times New Roman" w:eastAsia="Times New Roman" w:hAnsi="Times New Roman"/>
                <w:sz w:val="16"/>
                <w:szCs w:val="16"/>
                <w:b w:val="1"/>
                <w:bCs w:val="1"/>
                <w:color w:val="auto"/>
                <w:w w:val="99"/>
              </w:rPr>
              <w:t>(202) 842-7800</w:t>
            </w:r>
          </w:p>
        </w:tc>
        <w:tc>
          <w:tcPr>
            <w:tcW w:w="4600" w:type="dxa"/>
            <w:vAlign w:val="bottom"/>
          </w:tcPr>
          <w:p>
            <w:pPr>
              <w:jc w:val="center"/>
              <w:ind w:left="2639"/>
              <w:spacing w:after="0"/>
              <w:rPr>
                <w:sz w:val="20"/>
                <w:szCs w:val="20"/>
                <w:color w:val="auto"/>
              </w:rPr>
            </w:pPr>
            <w:r>
              <w:rPr>
                <w:rFonts w:ascii="Times New Roman" w:cs="Times New Roman" w:eastAsia="Times New Roman" w:hAnsi="Times New Roman"/>
                <w:sz w:val="16"/>
                <w:szCs w:val="16"/>
                <w:b w:val="1"/>
                <w:bCs w:val="1"/>
                <w:color w:val="auto"/>
                <w:w w:val="98"/>
              </w:rPr>
              <w:t>New York, New York 10118</w:t>
            </w:r>
          </w:p>
        </w:tc>
      </w:tr>
      <w:tr>
        <w:trPr>
          <w:trHeight w:val="212"/>
        </w:trPr>
        <w:tc>
          <w:tcPr>
            <w:tcW w:w="3320" w:type="dxa"/>
            <w:vAlign w:val="bottom"/>
          </w:tcPr>
          <w:p>
            <w:pPr>
              <w:spacing w:after="0"/>
              <w:rPr>
                <w:sz w:val="18"/>
                <w:szCs w:val="18"/>
                <w:color w:val="auto"/>
              </w:rPr>
            </w:pPr>
          </w:p>
        </w:tc>
        <w:tc>
          <w:tcPr>
            <w:tcW w:w="4600" w:type="dxa"/>
            <w:vAlign w:val="bottom"/>
          </w:tcPr>
          <w:p>
            <w:pPr>
              <w:jc w:val="center"/>
              <w:ind w:left="2639"/>
              <w:spacing w:after="0"/>
              <w:rPr>
                <w:sz w:val="20"/>
                <w:szCs w:val="20"/>
                <w:color w:val="auto"/>
              </w:rPr>
            </w:pPr>
            <w:r>
              <w:rPr>
                <w:rFonts w:ascii="Times New Roman" w:cs="Times New Roman" w:eastAsia="Times New Roman" w:hAnsi="Times New Roman"/>
                <w:sz w:val="16"/>
                <w:szCs w:val="16"/>
                <w:b w:val="1"/>
                <w:bCs w:val="1"/>
                <w:color w:val="auto"/>
                <w:w w:val="99"/>
              </w:rPr>
              <w:t>(646) 600-6438</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115570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86"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 xml:space="preserve">Approximate date of commencement of proposed sale to the public: </w:t>
      </w:r>
      <w:r>
        <w:rPr>
          <w:rFonts w:ascii="Times New Roman" w:cs="Times New Roman" w:eastAsia="Times New Roman" w:hAnsi="Times New Roman"/>
          <w:sz w:val="16"/>
          <w:szCs w:val="16"/>
          <w:color w:val="auto"/>
        </w:rPr>
        <w:t>From time to time after the effective date of this Registration Statement.</w:t>
      </w:r>
    </w:p>
    <w:p>
      <w:pPr>
        <w:spacing w:after="0" w:line="28" w:lineRule="exact"/>
        <w:rPr>
          <w:sz w:val="24"/>
          <w:szCs w:val="24"/>
          <w:color w:val="auto"/>
        </w:rPr>
      </w:pPr>
    </w:p>
    <w:p>
      <w:pPr>
        <w:ind w:left="560"/>
        <w:spacing w:after="0" w:line="184" w:lineRule="exact"/>
        <w:rPr>
          <w:sz w:val="20"/>
          <w:szCs w:val="20"/>
          <w:color w:val="auto"/>
        </w:rPr>
      </w:pPr>
      <w:r>
        <w:rPr>
          <w:rFonts w:ascii="Times New Roman" w:cs="Times New Roman" w:eastAsia="Times New Roman" w:hAnsi="Times New Roman"/>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92" w:lineRule="exact"/>
        <w:rPr>
          <w:sz w:val="24"/>
          <w:szCs w:val="24"/>
          <w:color w:val="auto"/>
        </w:rPr>
      </w:pPr>
    </w:p>
    <w:p>
      <w:pPr>
        <w:ind w:left="120" w:right="180" w:firstLine="440"/>
        <w:spacing w:after="0" w:line="220" w:lineRule="exact"/>
        <w:rPr>
          <w:sz w:val="20"/>
          <w:szCs w:val="20"/>
          <w:color w:val="auto"/>
        </w:rPr>
      </w:pPr>
      <w:r>
        <w:rPr>
          <w:rFonts w:ascii="Times New Roman" w:cs="Times New Roman" w:eastAsia="Times New Roman" w:hAnsi="Times New Roman"/>
          <w:sz w:val="16"/>
          <w:szCs w:val="16"/>
          <w:color w:val="auto"/>
        </w:rPr>
        <w:t xml:space="preserve">If any of the securities being registered on this Form are to be offered on a delayed or continuous basis pursuant to Rule 415 under the Securities Act of 1933, as amended, other than securities offered only in connection with dividend or interest reinvestment plans, check the following box:  </w:t>
      </w:r>
      <w:r>
        <w:rPr>
          <w:rFonts w:ascii="MS PGothic" w:cs="MS PGothic" w:eastAsia="MS PGothic" w:hAnsi="MS PGothic"/>
          <w:sz w:val="16"/>
          <w:szCs w:val="16"/>
          <w:color w:val="auto"/>
        </w:rPr>
        <w:t>☒</w:t>
      </w:r>
    </w:p>
    <w:p>
      <w:pPr>
        <w:ind w:left="120" w:right="280" w:firstLine="440"/>
        <w:spacing w:after="0" w:line="216"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8" w:lineRule="exact"/>
        <w:rPr>
          <w:sz w:val="24"/>
          <w:szCs w:val="24"/>
          <w:color w:val="auto"/>
        </w:rPr>
      </w:pPr>
    </w:p>
    <w:p>
      <w:pPr>
        <w:ind w:left="120" w:right="180" w:firstLine="44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7" w:lineRule="exact"/>
        <w:rPr>
          <w:sz w:val="24"/>
          <w:szCs w:val="24"/>
          <w:color w:val="auto"/>
        </w:rPr>
      </w:pPr>
    </w:p>
    <w:p>
      <w:pPr>
        <w:ind w:left="120" w:right="160" w:firstLine="44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6"/>
          <w:szCs w:val="16"/>
          <w:color w:val="auto"/>
        </w:rPr>
        <w:t>☐</w:t>
      </w:r>
    </w:p>
    <w:p>
      <w:pPr>
        <w:ind w:left="120" w:right="180" w:firstLine="440"/>
        <w:spacing w:after="0" w:line="216"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6"/>
          <w:szCs w:val="16"/>
          <w:color w:val="auto"/>
        </w:rPr>
        <w:t>☐</w:t>
      </w:r>
    </w:p>
    <w:p>
      <w:pPr>
        <w:spacing w:after="0" w:line="8" w:lineRule="exact"/>
        <w:rPr>
          <w:sz w:val="24"/>
          <w:szCs w:val="24"/>
          <w:color w:val="auto"/>
        </w:rPr>
      </w:pPr>
    </w:p>
    <w:p>
      <w:pPr>
        <w:jc w:val="both"/>
        <w:ind w:left="120" w:right="100" w:firstLine="440"/>
        <w:spacing w:after="0" w:line="267"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272"/>
        </w:trPr>
        <w:tc>
          <w:tcPr>
            <w:tcW w:w="16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7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320" w:type="dxa"/>
            <w:vAlign w:val="bottom"/>
          </w:tcPr>
          <w:p>
            <w:pPr>
              <w:ind w:left="3400"/>
              <w:spacing w:after="0"/>
              <w:rPr>
                <w:sz w:val="20"/>
                <w:szCs w:val="20"/>
                <w:color w:val="auto"/>
              </w:rPr>
            </w:pPr>
            <w:r>
              <w:rPr>
                <w:rFonts w:ascii="Times New Roman" w:cs="Times New Roman" w:eastAsia="Times New Roman" w:hAnsi="Times New Roman"/>
                <w:sz w:val="16"/>
                <w:szCs w:val="16"/>
                <w:color w:val="auto"/>
              </w:rPr>
              <w:t>Accelerated filer</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07"/>
        </w:trPr>
        <w:tc>
          <w:tcPr>
            <w:tcW w:w="16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7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320" w:type="dxa"/>
            <w:vAlign w:val="bottom"/>
          </w:tcPr>
          <w:p>
            <w:pPr>
              <w:ind w:left="34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1"/>
        </w:trPr>
        <w:tc>
          <w:tcPr>
            <w:tcW w:w="16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5320" w:type="dxa"/>
            <w:vAlign w:val="bottom"/>
          </w:tcPr>
          <w:p>
            <w:pPr>
              <w:ind w:left="3400"/>
              <w:spacing w:after="0"/>
              <w:rPr>
                <w:sz w:val="20"/>
                <w:szCs w:val="20"/>
                <w:color w:val="auto"/>
              </w:rPr>
            </w:pPr>
            <w:r>
              <w:rPr>
                <w:rFonts w:ascii="Times New Roman" w:cs="Times New Roman" w:eastAsia="Times New Roman" w:hAnsi="Times New Roman"/>
                <w:sz w:val="16"/>
                <w:szCs w:val="16"/>
                <w:color w:val="auto"/>
              </w:rPr>
              <w:t>Emerging growth company</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7" w:lineRule="exact"/>
        <w:rPr>
          <w:sz w:val="24"/>
          <w:szCs w:val="24"/>
          <w:color w:val="auto"/>
        </w:rPr>
      </w:pPr>
    </w:p>
    <w:p>
      <w:pPr>
        <w:ind w:left="120" w:right="38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81915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47" w:lineRule="exact"/>
        <w:rPr>
          <w:sz w:val="24"/>
          <w:szCs w:val="24"/>
          <w:color w:val="auto"/>
        </w:rPr>
      </w:pPr>
    </w:p>
    <w:p>
      <w:pPr>
        <w:ind w:left="120" w:right="20"/>
        <w:spacing w:after="0" w:line="276" w:lineRule="auto"/>
        <w:rPr>
          <w:sz w:val="20"/>
          <w:szCs w:val="20"/>
          <w:color w:val="auto"/>
        </w:rPr>
      </w:pPr>
      <w:r>
        <w:rPr>
          <w:rFonts w:ascii="Times New Roman" w:cs="Times New Roman" w:eastAsia="Times New Roman" w:hAnsi="Times New Roman"/>
          <w:sz w:val="16"/>
          <w:szCs w:val="16"/>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46990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90170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225" w:right="439" w:bottom="332"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IN8bio, Inc. (the “Registrant”) is filing this Pre-Effective Amendment No. 1 to the Registration Statement on Form S-3 (File No. 333-291393), initially filed on November 7, 2025 (the “Registration Statement”), for the purpose of (i) updating certain information in the Registration Statement; and (ii) filing an updated consent of CohnReznick LLP, the Registrant’s independent registered public accounting firm.</w:t>
      </w:r>
    </w:p>
    <w:p>
      <w:pPr>
        <w:sectPr>
          <w:pgSz w:w="11900" w:h="16838" w:orient="portrait"/>
          <w:cols w:equalWidth="0" w:num="1">
            <w:col w:w="11080"/>
          </w:cols>
          <w:pgMar w:left="320" w:top="455"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ectPr>
          <w:pgSz w:w="11900" w:h="16838" w:orient="portrait"/>
          <w:cols w:equalWidth="0" w:num="1">
            <w:col w:w="10260"/>
          </w:cols>
          <w:pgMar w:left="320" w:top="455" w:right="1319" w:bottom="1440" w:gutter="0" w:footer="0" w:header="0"/>
        </w:sectPr>
      </w:pPr>
    </w:p>
    <w:p>
      <w:pPr>
        <w:spacing w:after="0" w:line="368" w:lineRule="exact"/>
        <w:rPr>
          <w:sz w:val="20"/>
          <w:szCs w:val="20"/>
          <w:color w:val="auto"/>
        </w:rPr>
      </w:pPr>
    </w:p>
    <w:tbl>
      <w:tblPr>
        <w:tblLayout w:type="fixed"/>
        <w:tblInd w:w="17" w:type="dxa"/>
        <w:tblCellMar>
          <w:top w:w="0" w:type="dxa"/>
          <w:left w:w="0" w:type="dxa"/>
          <w:bottom w:w="0" w:type="dxa"/>
          <w:right w:w="0" w:type="dxa"/>
        </w:tblCellMar>
      </w:tblPr>
      <w:tr>
        <w:trPr>
          <w:trHeight w:val="11700"/>
        </w:trPr>
        <w:tc>
          <w:tcPr>
            <w:tcW w:w="684" w:type="dxa"/>
            <w:vAlign w:val="bottom"/>
            <w:textDirection w:val="btLr"/>
          </w:tcPr>
          <w:p>
            <w:pPr>
              <w:spacing w:after="0" w:line="280" w:lineRule="auto"/>
              <w:rPr>
                <w:sz w:val="20"/>
                <w:szCs w:val="20"/>
                <w:color w:val="auto"/>
              </w:rPr>
            </w:pPr>
            <w:r>
              <w:rPr>
                <w:rFonts w:ascii="Arial" w:cs="Arial" w:eastAsia="Arial" w:hAnsi="Arial"/>
                <w:sz w:val="17"/>
                <w:szCs w:val="17"/>
                <w:b w:val="1"/>
                <w:bCs w:val="1"/>
                <w:color w:val="FF4338"/>
              </w:rPr>
              <w:t>to sell these securities and it is not soliciting offers to buy these securities in any state where such offer or sale is not permitted. securities until the registration statement filed with the Securities and Exchange Commission is effective. This prospectus is not an offer The information in this prospectus is not complete and may be changed. We may not sell these securities or accept an offer to buy these</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0"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b w:val="1"/>
          <w:bCs w:val="1"/>
          <w:color w:val="FF4338"/>
        </w:rPr>
        <w:t>SUBJECT TO COMPLETION, DATED MAY 18, 2026</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FF4338"/>
        </w:rPr>
        <w:t>PROSPECTUS</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$200,000,000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2331720</wp:posOffset>
            </wp:positionH>
            <wp:positionV relativeFrom="paragraph">
              <wp:posOffset>739140</wp:posOffset>
            </wp:positionV>
            <wp:extent cx="12344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34440" cy="8255"/>
                    </a:xfrm>
                    <a:prstGeom prst="rect">
                      <a:avLst/>
                    </a:prstGeom>
                    <a:noFill/>
                  </pic:spPr>
                </pic:pic>
              </a:graphicData>
            </a:graphic>
          </wp:anchor>
        </w:drawing>
        <w:drawing>
          <wp:anchor simplePos="0" relativeHeight="251657728" behindDoc="1" locked="0" layoutInCell="0" allowOverlap="1">
            <wp:simplePos x="0" y="0"/>
            <wp:positionH relativeFrom="column">
              <wp:posOffset>2331720</wp:posOffset>
            </wp:positionH>
            <wp:positionV relativeFrom="paragraph">
              <wp:posOffset>104775</wp:posOffset>
            </wp:positionV>
            <wp:extent cx="1234440" cy="4883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3444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Rights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2331720</wp:posOffset>
            </wp:positionH>
            <wp:positionV relativeFrom="paragraph">
              <wp:posOffset>148590</wp:posOffset>
            </wp:positionV>
            <wp:extent cx="12344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13" w:lineRule="exact"/>
        <w:rPr>
          <w:sz w:val="20"/>
          <w:szCs w:val="20"/>
          <w:color w:val="auto"/>
        </w:rPr>
      </w:pPr>
    </w:p>
    <w:p>
      <w:pPr>
        <w:ind w:right="200"/>
        <w:spacing w:after="0" w:line="236" w:lineRule="auto"/>
        <w:rPr>
          <w:sz w:val="20"/>
          <w:szCs w:val="20"/>
          <w:color w:val="auto"/>
        </w:rPr>
      </w:pPr>
      <w:r>
        <w:rPr>
          <w:rFonts w:ascii="Times New Roman" w:cs="Times New Roman" w:eastAsia="Times New Roman" w:hAnsi="Times New Roman"/>
          <w:sz w:val="14"/>
          <w:szCs w:val="14"/>
          <w:color w:val="auto"/>
        </w:rPr>
        <w:t>From time to time, we may offer and sell up to an aggregate amount of $200,000,000 of any combination of the securities described in this prospectus, either individually or in combination, at prices and on terms described in one or more supplements to this prospectus. We may also offer common stock or preferred stock upon conversion of debt securities, or common stock upon conversion of preferred stock, or common stock, preferred stock or debt securities upon exercise of warrants.</w:t>
      </w:r>
    </w:p>
    <w:p>
      <w:pPr>
        <w:spacing w:after="0" w:line="69"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4"/>
          <w:szCs w:val="14"/>
          <w:color w:val="auto"/>
        </w:rPr>
        <w:t>This prospectus describes some of the general terms that may apply to an offering of our securities. We will provide the specific terms of these offerings and securities in one or more supplements to this prospectus. We may also authorize one or more free writing prospectuses to be provided to you in connection with these offerings. The prospectus supplement and any related free writing prospectus may also add, update or change information contained in this prospectus. You should carefully read this prospectus, the applicable prospectus supplement and any related free writing prospectus, as well as any documents incorporated by reference, before buying any of the securities being offered.</w:t>
      </w:r>
    </w:p>
    <w:p>
      <w:pPr>
        <w:spacing w:after="0" w:line="69" w:lineRule="exact"/>
        <w:rPr>
          <w:sz w:val="20"/>
          <w:szCs w:val="20"/>
          <w:color w:val="auto"/>
        </w:rPr>
      </w:pPr>
    </w:p>
    <w:p>
      <w:pPr>
        <w:ind w:right="100"/>
        <w:spacing w:after="0" w:line="233" w:lineRule="auto"/>
        <w:rPr>
          <w:sz w:val="20"/>
          <w:szCs w:val="20"/>
          <w:color w:val="auto"/>
        </w:rPr>
      </w:pPr>
      <w:r>
        <w:rPr>
          <w:rFonts w:ascii="Times New Roman" w:cs="Times New Roman" w:eastAsia="Times New Roman" w:hAnsi="Times New Roman"/>
          <w:sz w:val="14"/>
          <w:szCs w:val="14"/>
          <w:color w:val="auto"/>
        </w:rPr>
        <w:t>The securities may be sold directly by us to investors, through agents designated from time to time or to or through underwriters or dealers, on a continuous or delayed basis. For additional information on the methods of sale, you should refer to the section titled “</w:t>
      </w:r>
      <w:r>
        <w:rPr>
          <w:rFonts w:ascii="Times New Roman" w:cs="Times New Roman" w:eastAsia="Times New Roman" w:hAnsi="Times New Roman"/>
          <w:sz w:val="14"/>
          <w:szCs w:val="14"/>
          <w:i w:val="1"/>
          <w:iCs w:val="1"/>
          <w:color w:val="auto"/>
        </w:rPr>
        <w:t>Plan of Distribution</w:t>
      </w:r>
      <w:r>
        <w:rPr>
          <w:rFonts w:ascii="Times New Roman" w:cs="Times New Roman" w:eastAsia="Times New Roman" w:hAnsi="Times New Roman"/>
          <w:sz w:val="14"/>
          <w:szCs w:val="14"/>
          <w:color w:val="auto"/>
        </w:rPr>
        <w:t>” in this prospectus. If any agents or underwriters are involved in the sale of any shares of our securities with respect to which this prospectus is being delivered, the names of such agents or underwriters and any applicable fees, commissions, discounts and overallotment options will be set forth in a prospectus supplement. The price to the public of such securities and the net proceeds we expect to receive from such sale will also be set forth in a prospectus supplement.</w:t>
      </w:r>
    </w:p>
    <w:p>
      <w:pPr>
        <w:spacing w:after="0" w:line="69"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14"/>
          <w:szCs w:val="14"/>
          <w:color w:val="auto"/>
        </w:rPr>
        <w:t>Our common stock is listed on the Nasdaq Capital Market under the trading symbol “INAB.” On May 15, 2026, the last reported sale price of our common stock was $1.49 per share. The applicable prospectus supplement will contain information, where applicable, as to other listings, if any, on the Nasdaq Capital Market or any securities market or other exchange of the securities covered by the applicable prospectus supplement.</w:t>
      </w:r>
    </w:p>
    <w:p>
      <w:pPr>
        <w:spacing w:after="0" w:line="69" w:lineRule="exact"/>
        <w:rPr>
          <w:sz w:val="20"/>
          <w:szCs w:val="20"/>
          <w:color w:val="auto"/>
        </w:rPr>
      </w:pPr>
    </w:p>
    <w:p>
      <w:pPr>
        <w:jc w:val="both"/>
        <w:ind w:right="180"/>
        <w:spacing w:after="0" w:line="229" w:lineRule="auto"/>
        <w:rPr>
          <w:sz w:val="20"/>
          <w:szCs w:val="20"/>
          <w:color w:val="auto"/>
        </w:rPr>
      </w:pPr>
      <w:r>
        <w:rPr>
          <w:rFonts w:ascii="Times New Roman" w:cs="Times New Roman" w:eastAsia="Times New Roman" w:hAnsi="Times New Roman"/>
          <w:sz w:val="14"/>
          <w:szCs w:val="14"/>
          <w:color w:val="auto"/>
        </w:rPr>
        <w:t>The aggregate market value of our common stock held by non-affiliates as of May 15, 2026 pursuant to General Instruction I.B.6 of Form S-3 is $17,631,022, which was calculated based on 8,815,511 shares of our common stock outstanding held by non-affiliates and at a price of $2.00 per share, the closing price of our common stock on March 20, 2026. As of the date hereof, we have offered and sold $4,959,074 of securities pursuant to General Instruction I.B.6 of</w:t>
      </w:r>
    </w:p>
    <w:p>
      <w:pPr>
        <w:spacing w:after="0" w:line="1"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4"/>
          <w:szCs w:val="14"/>
          <w:color w:val="auto"/>
        </w:rPr>
        <w:t>Form S-3 during the prior 12 calendar month period that ends on and includes the date hereof. Pursuant to General Instruction I.B.6 of Form S-3, in no event will we sell securities registered on the registration statement of which this prospectus is a part in a public primary offering with a value exceeding more than one-third of our public float in any 12-month period so long as our public float remains below $75.0 million.</w:t>
      </w:r>
    </w:p>
    <w:p>
      <w:pPr>
        <w:spacing w:after="0" w:line="69"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4"/>
          <w:szCs w:val="14"/>
          <w:color w:val="auto"/>
        </w:rPr>
        <w:t>We are an “emerging growth company” and a “smaller reporting company” as defined under the federal securities laws and, as such, have elected to comply with certain reduced public company reporting requirements for this prospectus and the documents incorporated by reference herein and may elect to comply with reduced public company reporting requirements in future filings. For additional information, you should refer to the section titled “</w:t>
      </w:r>
      <w:r>
        <w:rPr>
          <w:rFonts w:ascii="Times New Roman" w:cs="Times New Roman" w:eastAsia="Times New Roman" w:hAnsi="Times New Roman"/>
          <w:sz w:val="14"/>
          <w:szCs w:val="14"/>
          <w:i w:val="1"/>
          <w:iCs w:val="1"/>
          <w:color w:val="auto"/>
        </w:rPr>
        <w:t>Summary—Implications of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Being an Emerging Growth Company and Smaller Reporting Company</w:t>
      </w:r>
      <w:r>
        <w:rPr>
          <w:rFonts w:ascii="Times New Roman" w:cs="Times New Roman" w:eastAsia="Times New Roman" w:hAnsi="Times New Roman"/>
          <w:sz w:val="14"/>
          <w:szCs w:val="14"/>
          <w:color w:val="auto"/>
        </w:rPr>
        <w:t>”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2331720</wp:posOffset>
            </wp:positionH>
            <wp:positionV relativeFrom="paragraph">
              <wp:posOffset>144145</wp:posOffset>
            </wp:positionV>
            <wp:extent cx="12344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01" w:lineRule="exact"/>
        <w:rPr>
          <w:sz w:val="20"/>
          <w:szCs w:val="20"/>
          <w:color w:val="auto"/>
        </w:rPr>
      </w:pPr>
    </w:p>
    <w:p>
      <w:pPr>
        <w:ind w:right="260"/>
        <w:spacing w:after="0" w:line="247" w:lineRule="auto"/>
        <w:rPr>
          <w:sz w:val="20"/>
          <w:szCs w:val="20"/>
          <w:color w:val="auto"/>
        </w:rPr>
      </w:pPr>
      <w:r>
        <w:rPr>
          <w:rFonts w:ascii="Times New Roman" w:cs="Times New Roman" w:eastAsia="Times New Roman" w:hAnsi="Times New Roman"/>
          <w:sz w:val="20"/>
          <w:szCs w:val="20"/>
          <w:b w:val="1"/>
          <w:bCs w:val="1"/>
          <w:color w:val="auto"/>
        </w:rPr>
        <w:t>Investing in our securities involves a high degree of risk. You should review carefully the risks and uncertainties described under the section titled “</w:t>
      </w:r>
      <w:r>
        <w:rPr>
          <w:rFonts w:ascii="Times New Roman" w:cs="Times New Roman" w:eastAsia="Times New Roman" w:hAnsi="Times New Roman"/>
          <w:sz w:val="20"/>
          <w:szCs w:val="20"/>
          <w:b w:val="1"/>
          <w:bCs w:val="1"/>
          <w:u w:val="single" w:color="auto"/>
          <w:color w:val="0000EE"/>
        </w:rPr>
        <w:t>Risk Factors</w:t>
      </w:r>
      <w:r>
        <w:rPr>
          <w:rFonts w:ascii="Times New Roman" w:cs="Times New Roman" w:eastAsia="Times New Roman" w:hAnsi="Times New Roman"/>
          <w:sz w:val="20"/>
          <w:szCs w:val="20"/>
          <w:b w:val="1"/>
          <w:bCs w:val="1"/>
          <w:color w:val="auto"/>
        </w:rPr>
        <w:t>” on page 5 of this prospectus and any similar section contained in the applicable prospectus supplement and in any free writing prospectuses we have authorized for use in connection with a specific offering, and under similar headings in the documents that are incorporated by reference into this prospectus.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This prospectus may not be used to consummate a sale of securities unless accompanied by a prospectus supplement.</w:t>
      </w:r>
    </w:p>
    <w:p>
      <w:pPr>
        <w:spacing w:after="0" w:line="96"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date of this prospectus is             , 2026.</w:t>
      </w:r>
    </w:p>
    <w:p>
      <w:pPr>
        <w:sectPr>
          <w:pgSz w:w="11900" w:h="16838" w:orient="portrait"/>
          <w:cols w:equalWidth="0" w:num="2">
            <w:col w:w="701" w:space="279"/>
            <w:col w:w="9280"/>
          </w:cols>
          <w:pgMar w:left="320" w:top="455" w:right="131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2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4"/>
        </w:trPr>
        <w:tc>
          <w:tcPr>
            <w:tcW w:w="8000" w:type="dxa"/>
            <w:vAlign w:val="bottom"/>
            <w:gridSpan w:val="17"/>
          </w:tcPr>
          <w:p>
            <w:pPr>
              <w:spacing w:after="0" w:line="194" w:lineRule="exact"/>
              <w:rPr>
                <w:sz w:val="20"/>
                <w:szCs w:val="20"/>
                <w:color w:val="auto"/>
              </w:rPr>
            </w:pPr>
            <w:r>
              <w:rPr>
                <w:rFonts w:ascii="Times New Roman" w:cs="Times New Roman" w:eastAsia="Times New Roman" w:hAnsi="Times New Roman"/>
                <w:sz w:val="18"/>
                <w:szCs w:val="18"/>
                <w:color w:val="0000EE"/>
              </w:rPr>
              <w:t>ABOUT THIS PROSPECTUS</w:t>
            </w:r>
          </w:p>
        </w:tc>
        <w:tc>
          <w:tcPr>
            <w:tcW w:w="29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ii</w:t>
            </w:r>
          </w:p>
        </w:tc>
      </w:tr>
      <w:tr>
        <w:trPr>
          <w:trHeight w:val="196"/>
        </w:trPr>
        <w:tc>
          <w:tcPr>
            <w:tcW w:w="222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PROSPECTUS SUMMARY</w:t>
            </w:r>
          </w:p>
        </w:tc>
        <w:tc>
          <w:tcPr>
            <w:tcW w:w="5780" w:type="dxa"/>
            <w:vAlign w:val="bottom"/>
            <w:gridSpan w:val="8"/>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208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5920" w:type="dxa"/>
            <w:vAlign w:val="bottom"/>
            <w:gridSpan w:val="10"/>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80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158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3740" w:type="dxa"/>
            <w:vAlign w:val="bottom"/>
            <w:tcBorders>
              <w:top w:val="single" w:sz="8" w:color="0000EE"/>
            </w:tcBorders>
            <w:gridSpan w:val="12"/>
          </w:tcPr>
          <w:p>
            <w:pPr>
              <w:spacing w:after="0"/>
              <w:rPr>
                <w:sz w:val="17"/>
                <w:szCs w:val="17"/>
                <w:color w:val="auto"/>
              </w:rPr>
            </w:pPr>
          </w:p>
        </w:tc>
        <w:tc>
          <w:tcPr>
            <w:tcW w:w="2680" w:type="dxa"/>
            <w:vAlign w:val="bottom"/>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80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304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4960" w:type="dxa"/>
            <w:vAlign w:val="bottom"/>
            <w:gridSpan w:val="4"/>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196"/>
        </w:trPr>
        <w:tc>
          <w:tcPr>
            <w:tcW w:w="248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5520" w:type="dxa"/>
            <w:vAlign w:val="bottom"/>
            <w:gridSpan w:val="7"/>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196"/>
        </w:trPr>
        <w:tc>
          <w:tcPr>
            <w:tcW w:w="214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RIGHTS</w:t>
            </w:r>
          </w:p>
        </w:tc>
        <w:tc>
          <w:tcPr>
            <w:tcW w:w="5860" w:type="dxa"/>
            <w:vAlign w:val="bottom"/>
            <w:gridSpan w:val="9"/>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196"/>
        </w:trPr>
        <w:tc>
          <w:tcPr>
            <w:tcW w:w="202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UNITS</w:t>
            </w:r>
          </w:p>
        </w:tc>
        <w:tc>
          <w:tcPr>
            <w:tcW w:w="5980" w:type="dxa"/>
            <w:vAlign w:val="bottom"/>
            <w:gridSpan w:val="12"/>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196"/>
        </w:trPr>
        <w:tc>
          <w:tcPr>
            <w:tcW w:w="302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LEGAL OWNERSHIP OF SECURITIES</w:t>
            </w:r>
          </w:p>
        </w:tc>
        <w:tc>
          <w:tcPr>
            <w:tcW w:w="4980" w:type="dxa"/>
            <w:vAlign w:val="bottom"/>
            <w:gridSpan w:val="5"/>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196"/>
        </w:trPr>
        <w:tc>
          <w:tcPr>
            <w:tcW w:w="80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196"/>
        </w:trPr>
        <w:tc>
          <w:tcPr>
            <w:tcW w:w="146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3"/>
          </w:tcPr>
          <w:p>
            <w:pPr>
              <w:spacing w:after="0"/>
              <w:rPr>
                <w:sz w:val="17"/>
                <w:szCs w:val="17"/>
                <w:color w:val="auto"/>
              </w:rPr>
            </w:pPr>
          </w:p>
        </w:tc>
        <w:tc>
          <w:tcPr>
            <w:tcW w:w="5960" w:type="dxa"/>
            <w:vAlign w:val="bottom"/>
            <w:gridSpan w:val="11"/>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196"/>
        </w:trPr>
        <w:tc>
          <w:tcPr>
            <w:tcW w:w="80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20"/>
        </w:trPr>
        <w:tc>
          <w:tcPr>
            <w:tcW w:w="760" w:type="dxa"/>
            <w:vAlign w:val="bottom"/>
            <w:shd w:val="clear" w:color="auto" w:fill="0000EE"/>
          </w:tcPr>
          <w:p>
            <w:pPr>
              <w:spacing w:after="0" w:line="20" w:lineRule="exact"/>
              <w:rPr>
                <w:sz w:val="1"/>
                <w:szCs w:val="1"/>
                <w:color w:val="auto"/>
              </w:rPr>
            </w:pPr>
          </w:p>
        </w:tc>
        <w:tc>
          <w:tcPr>
            <w:tcW w:w="3640" w:type="dxa"/>
            <w:vAlign w:val="bottom"/>
            <w:gridSpan w:val="1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80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20"/>
        </w:trPr>
        <w:tc>
          <w:tcPr>
            <w:tcW w:w="4400" w:type="dxa"/>
            <w:vAlign w:val="bottom"/>
            <w:gridSpan w:val="14"/>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518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2820" w:type="dxa"/>
            <w:vAlign w:val="bottom"/>
            <w:gridSpan w:val="2"/>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80" w:firstLine="440"/>
        <w:spacing w:after="0" w:line="277" w:lineRule="auto"/>
        <w:rPr>
          <w:sz w:val="20"/>
          <w:szCs w:val="20"/>
          <w:color w:val="auto"/>
        </w:rPr>
      </w:pPr>
      <w:r>
        <w:rPr>
          <w:rFonts w:ascii="Times New Roman" w:cs="Times New Roman" w:eastAsia="Times New Roman" w:hAnsi="Times New Roman"/>
          <w:sz w:val="17"/>
          <w:szCs w:val="17"/>
          <w:color w:val="auto"/>
        </w:rPr>
        <w:t>This prospectus is part of a registration statement on Form S-3 that we filed with the Securities and Exchange Commission, or the SEC, using a “shelf” registration process under the Securities Act of 1933, as amended, or the Securities Act. Under this shelf registration statement, we may, from time to time, offer and sell in one or more offerings common stock and preferred stock, various series of debt securities and/or warrants to purchase any of such securities, either individually or in combination with other securities, in one or more offerings, up to a total dollar amount of $200,000,000 of any combination of the securities described in this prospectus. This prospectus provides you with a general description of the securities we may offer.</w:t>
      </w:r>
    </w:p>
    <w:p>
      <w:pPr>
        <w:spacing w:after="0" w:line="16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Each time we offer any type or series of securities under this prospectus, we will provide a prospectus supplement that will contain more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any of the information contained in this prospectus or in the documents that we have incorporated by reference into this prospectus. This prospectus, together with the applicable prospectus supplement, any related free writing prospectus and the documents incorporated by reference into this prospectus and the applicable prospectus supplement, will include all material information relating to the applicable offering. We urge you to read carefully this prospectus, any applicable prospectus supplement and any related free writing prospectuses we have authorized for use in connection with a specific offering, together with the information incorporated herein by reference as described under the section titled “</w:t>
      </w:r>
      <w:r>
        <w:rPr>
          <w:rFonts w:ascii="Times New Roman" w:cs="Times New Roman" w:eastAsia="Times New Roman" w:hAnsi="Times New Roman"/>
          <w:sz w:val="18"/>
          <w:szCs w:val="18"/>
          <w:i w:val="1"/>
          <w:iCs w:val="1"/>
          <w:color w:val="auto"/>
        </w:rPr>
        <w:t>Incorporation of Certain Information by Reference</w:t>
      </w:r>
      <w:r>
        <w:rPr>
          <w:rFonts w:ascii="Times New Roman" w:cs="Times New Roman" w:eastAsia="Times New Roman" w:hAnsi="Times New Roman"/>
          <w:sz w:val="18"/>
          <w:szCs w:val="18"/>
          <w:color w:val="auto"/>
        </w:rPr>
        <w:t>” before buying any of the securities being offered.</w:t>
      </w:r>
    </w:p>
    <w:p>
      <w:pPr>
        <w:spacing w:after="0" w:line="1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This prospectus may not be used to consummate a sale of securities unless it is accompanied by a prospectus supplement.</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You should rely only on the information contained in, or incorporated by reference into, this prospectus and any applicable prospectus supplement, along with the information contained in any free writing prospectuses we have authorized for use in connection with a specific offering. We have not authorized anyone to provide you with any information other than that contained or incorporated by reference in this prospectus and any applicable prospectus supplement, along with the information contained in any free writing prospectuses we have authorized for use in connection with a specific offering. You must not rely upon any information or representation not contained or incorporated by reference in this prospectus, the accompanying prospectus supplement or in any related free writing prospectus that we may authorize to be provided to you. We take no responsibility for, and can provide no assurance as to the reliability of, any other information that others may give you. This prospectus is an offer to sell only the securities offered hereby, but only under circumstances and in jurisdictions where it is lawful to do so.</w:t>
      </w:r>
    </w:p>
    <w:p>
      <w:pPr>
        <w:spacing w:after="0" w:line="192"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information appearing in this prospectus, any applicable prospectus supplement and any related free writing prospectus is accurate only as of the date on the front of the document, and any information we have incorporated by reference is accurate only as of the date of the document incorporated by reference, regardless of the time of delivery of this prospectus, any applicable prospectus supplement or any related free writing prospectus, or any sale of securities. Our business, financial condition, results of operations and prospects may have changed since those dates.</w:t>
      </w:r>
    </w:p>
    <w:p>
      <w:pPr>
        <w:spacing w:after="0" w:line="180" w:lineRule="exact"/>
        <w:rPr>
          <w:sz w:val="20"/>
          <w:szCs w:val="20"/>
          <w:color w:val="auto"/>
        </w:rPr>
      </w:pPr>
    </w:p>
    <w:p>
      <w:pPr>
        <w:ind w:left="120" w:right="220" w:firstLine="440"/>
        <w:spacing w:after="0" w:line="255" w:lineRule="auto"/>
        <w:rPr>
          <w:sz w:val="20"/>
          <w:szCs w:val="20"/>
          <w:color w:val="auto"/>
        </w:rPr>
      </w:pPr>
      <w:r>
        <w:rPr>
          <w:rFonts w:ascii="Times New Roman" w:cs="Times New Roman" w:eastAsia="Times New Roman" w:hAnsi="Times New Roman"/>
          <w:sz w:val="18"/>
          <w:szCs w:val="18"/>
          <w:color w:val="auto"/>
        </w:rPr>
        <w:t>This prospectus contains and incorporates by reference market data and industry statistics and forecasts that are based on independent industry publications and other publicly available information. Although we believe that these sources are reliable, we do not guarantee the accuracy or completeness of this information and we have not independently verified this information. Although we are not aware of any misstatements regarding the market and industry data presented in this prospectus and the documents incorporated herein by reference, these estimates involve risks and uncertainties and are subject to change based on various factors, including those discussed under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contained in the applicable prospectus supplement and any related free writing prospectus, and under similar headings in the other documents that are incorporated by reference into this prospectus. Accordingly, investors should not place undue reliance on this information.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120"/>
          </w:cols>
          <w:pgMar w:left="320" w:top="455"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section titled “</w:t>
      </w:r>
      <w:r>
        <w:rPr>
          <w:rFonts w:ascii="Times New Roman" w:cs="Times New Roman" w:eastAsia="Times New Roman" w:hAnsi="Times New Roman"/>
          <w:sz w:val="17"/>
          <w:szCs w:val="17"/>
          <w:i w:val="1"/>
          <w:iCs w:val="1"/>
          <w:color w:val="auto"/>
        </w:rPr>
        <w:t>Where You Can Find Additional Information</w:t>
      </w:r>
      <w:r>
        <w:rPr>
          <w:rFonts w:ascii="Times New Roman" w:cs="Times New Roman" w:eastAsia="Times New Roman" w:hAnsi="Times New Roman"/>
          <w:sz w:val="17"/>
          <w:szCs w:val="17"/>
          <w:color w:val="auto"/>
        </w:rPr>
        <w:t>.”</w:t>
      </w:r>
    </w:p>
    <w:p>
      <w:pPr>
        <w:spacing w:after="0" w:line="164"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In this prospectus, unless the context suggests otherwise, the terms “IN8bio, Inc.,” “the company,” “we,” “us,” “our” and similar references refer to IN8bio, Inc.</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100"/>
          </w:cols>
          <w:pgMar w:left="320" w:top="455" w:right="4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96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8970" cy="59963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300" w:right="300" w:firstLine="426"/>
        <w:spacing w:after="0" w:line="256"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elsewhere in this prospectus or incorporated by reference in this prospectus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sections titled “Risk Factors” contained in this prospectus, the applicable prospectus supplement and any related free writing prospectus, and under similar sections in the other documents that are incorporated by reference into this prospectus. You should also carefully read the other information incorporated by reference into this prospectus, including our financial statements, and the exhibits to the registration statement of which this prospectus is a part.</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300" w:right="20" w:firstLine="426"/>
        <w:spacing w:after="0" w:line="254" w:lineRule="auto"/>
        <w:rPr>
          <w:sz w:val="20"/>
          <w:szCs w:val="20"/>
          <w:color w:val="auto"/>
        </w:rPr>
      </w:pPr>
      <w:r>
        <w:rPr>
          <w:rFonts w:ascii="Times New Roman" w:cs="Times New Roman" w:eastAsia="Times New Roman" w:hAnsi="Times New Roman"/>
          <w:sz w:val="18"/>
          <w:szCs w:val="18"/>
          <w:color w:val="auto"/>
        </w:rPr>
        <w:t>We are a leading clinical-stage biopharmaceutical company focused on the discovery, development and commercialization of gamma-delta T cellular therapy product candidates and gamma-delta T cell engagers, or TCEs, for cancer and autoimmune diseases. We develop ex vivo expanded and activated gamma-delta T cell candidates and TCEs based upon our deep expertise in gamma-delta T cell biology, proprietary genetic engineering, and cell-type specific manufacturing capabilities, which we refer to collectively as our DeltEx platform. Our platform employs allogeneic, autologous, induced pluripotent stem cell, or iPSC, and genetically modified cell therapy approaches, as well as TCEs that are designed to effectively identify and eradicate tumor or target cells. We believe we are the most clinically advanced gamma-delta T cell-focused company and we are utilizing our suite of DeltEx platform technologies to potentially eliminate cancer cells to achieve our mission we refer to as Cancer Zero — the safe elimination of all cancer cells in every patient battling the disease.</w:t>
      </w:r>
    </w:p>
    <w:p>
      <w:pPr>
        <w:spacing w:after="0" w:line="192" w:lineRule="exact"/>
        <w:rPr>
          <w:sz w:val="20"/>
          <w:szCs w:val="20"/>
          <w:color w:val="auto"/>
        </w:rPr>
      </w:pPr>
    </w:p>
    <w:p>
      <w:pPr>
        <w:ind w:left="300" w:firstLine="426"/>
        <w:spacing w:after="0" w:line="253" w:lineRule="auto"/>
        <w:rPr>
          <w:sz w:val="20"/>
          <w:szCs w:val="20"/>
          <w:color w:val="auto"/>
        </w:rPr>
      </w:pPr>
      <w:r>
        <w:rPr>
          <w:rFonts w:ascii="Times New Roman" w:cs="Times New Roman" w:eastAsia="Times New Roman" w:hAnsi="Times New Roman"/>
          <w:sz w:val="18"/>
          <w:szCs w:val="18"/>
          <w:color w:val="auto"/>
        </w:rPr>
        <w:t>To date, we have conducted two primary investigator-sponsored Phase 1 clinical trials evaluating our gamma-delta T cell technologies in cancer patients, which have both completed primary enrollment. INB-100 is assessing our DeltEx Allogeneic gamma-delta T cell therapy in adult patients with high-risk leukemias undergoing haploidentical stem cell transplantation, INB-200, evaluated our DeltEx Drug Resistant Immunotherapy in patients with newly diagnosed glioblastoma. Most recently we introduced INB-600, our proprietary, internally developed TCE platform. This platform represents a potentially revolutionary advancement in immunotherapy, harnessing the unique power of gamma-delta T cells through a differentiated mechanism intended to optimize effector function and targeted cytotoxicity. We also have a portfolio of preclinical programs within our DeltEx pipeline that currently remain paused in development due to financial market conditions and pipeline prioritization. These include INB-300, a targeted non-signaling gamma-delta T cell based chimeric antigen receptor construct, which is applicable to both solid and liquid tumors, and INB-500, which encompasses our ability to produce gamma-delta T cells from iPSCs. iPSCs represent a significant step toward next generation approaches of cellular manufacturing for true allogeneic and potentially “off-the-shelf” innate cellular therapies.</w:t>
      </w:r>
    </w:p>
    <w:p>
      <w:pPr>
        <w:spacing w:after="0" w:line="2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00" w:right="120" w:firstLine="426"/>
        <w:spacing w:after="0" w:line="254" w:lineRule="auto"/>
        <w:rPr>
          <w:sz w:val="20"/>
          <w:szCs w:val="20"/>
          <w:color w:val="auto"/>
        </w:rPr>
      </w:pPr>
      <w:r>
        <w:rPr>
          <w:rFonts w:ascii="Times New Roman" w:cs="Times New Roman" w:eastAsia="Times New Roman" w:hAnsi="Times New Roman"/>
          <w:sz w:val="18"/>
          <w:szCs w:val="18"/>
          <w:color w:val="auto"/>
        </w:rPr>
        <w:t>Incysus, Ltd. was incorporated in Bermuda on February 8, 2016. On May 7, 2018, Incysus, Ltd. reincorporated in the United States in a domestication transaction in which Incysus, Ltd. converted into a newly formed Delaware corporation, Incysus Therapeutics, Inc. Upon the domestication, each Class A share of Incysus, Ltd. was automatically converted into one share of common stock of Incysus Therapeutics, Inc. and each Class B share of Incysus, Ltd. was automatically cancelled and did not convert into any shares of any class of capital stock of Incysus Therapeutics, Inc. In August 2020, we amended our certificate of incorporation, as amended, to change our name to IN8bio, Inc. Our principal executive offices are located at 350 5th Avenue, Suite 5330, New York, New York 10118, and our telephone number is (646) 600-6438. Our corporate website address is www.in8bio.com. Information contained on, or accessible through, our website is not a part of this prospectus. We have included our website in this prospectus solely as an inactive textual reference.</w:t>
      </w:r>
    </w:p>
    <w:p>
      <w:pPr>
        <w:spacing w:after="0" w:line="31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40"/>
          </w:cols>
          <w:pgMar w:left="320" w:top="455" w:right="6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5848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8970" cy="55848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firstLine="426"/>
        <w:spacing w:after="0" w:line="230" w:lineRule="auto"/>
        <w:rPr>
          <w:sz w:val="20"/>
          <w:szCs w:val="20"/>
          <w:color w:val="auto"/>
        </w:rPr>
      </w:pPr>
      <w:r>
        <w:rPr>
          <w:rFonts w:ascii="Times New Roman" w:cs="Times New Roman" w:eastAsia="Times New Roman" w:hAnsi="Times New Roman"/>
          <w:sz w:val="18"/>
          <w:szCs w:val="18"/>
          <w:color w:val="auto"/>
        </w:rPr>
        <w:t xml:space="preserve">“IN8BIO,” “INEIGHTBIO,” the IN8BIO logo, DeltEx and other trademarks, trade names or service marks of IN8bio, Inc. appearing in this prospectus are the property of IN8bio, Inc. All other trademarks, trade names and service marks appearing in this prospectus are the property of their respective owners. Solely for convenience, the trademarks and trade names in this prospectus may be referred to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symbols, but such references should not be construed as any indicator that their respective owners will not assert their rights thereto.</w:t>
      </w:r>
    </w:p>
    <w:p>
      <w:pPr>
        <w:spacing w:after="0" w:line="30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121" w:lineRule="exact"/>
        <w:rPr>
          <w:sz w:val="20"/>
          <w:szCs w:val="20"/>
          <w:color w:val="auto"/>
        </w:rPr>
      </w:pPr>
    </w:p>
    <w:p>
      <w:pPr>
        <w:ind w:left="300" w:right="100" w:firstLine="426"/>
        <w:spacing w:after="0" w:line="258" w:lineRule="auto"/>
        <w:rPr>
          <w:sz w:val="20"/>
          <w:szCs w:val="20"/>
          <w:color w:val="auto"/>
        </w:rPr>
      </w:pPr>
      <w:r>
        <w:rPr>
          <w:rFonts w:ascii="Times New Roman" w:cs="Times New Roman" w:eastAsia="Times New Roman" w:hAnsi="Times New Roman"/>
          <w:sz w:val="18"/>
          <w:szCs w:val="18"/>
          <w:color w:val="auto"/>
        </w:rPr>
        <w:t>We qualify as an “emerging growth company,” as defined in the JOBS Act. As an emerging growth company, we may take advantage of specified reduced disclosure and other requirements that are otherwise applicable generally to public companies, including reduced disclosure about our executive compensation arrangements, exemption from the requirements to hold non-binding advisory votes on executive compensation and golden parachute payments and exemption from the auditor attestation requirement in the assessment of our internal control over financial reporting.</w:t>
      </w:r>
    </w:p>
    <w:p>
      <w:pPr>
        <w:spacing w:after="0" w:line="183"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color w:val="auto"/>
        </w:rPr>
        <w:t>We may take advantage of these provisions until we no longer qualify as an emerging growth company. We will cease to qualify as an emerging growth company on the date that is the earliest of: (i) December 31, 2026, (ii) the last day of the fiscal year in which we have more than $1.235 billion in total annual gross revenues, (iii) the date on which we are deemed to be a “large accelerated filer” under the rules of the SEC, which means the market value of our common stock that is held by non-affiliates exceeds $700 million as of the prior June 30th, or (iv) the date on which we have issued more than $1.0 billion of non-convertible debt over the prior three-year period. For so long as we remain an emerging growth company, we are permitted, and intend, to rely on exemptions from certain disclosure requirements that are applicable to other public companies that are not emerging growth companies. We may choose to take advantage of some, but not all, of the available exemptions.</w:t>
      </w:r>
    </w:p>
    <w:p>
      <w:pPr>
        <w:spacing w:after="0" w:line="189"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emerging growth company. Therefore, the reported results of operations contained in our financial statements may not be directly comparable to those of other public companies.</w:t>
      </w:r>
    </w:p>
    <w:p>
      <w:pPr>
        <w:spacing w:after="0" w:line="189" w:lineRule="exact"/>
        <w:rPr>
          <w:sz w:val="20"/>
          <w:szCs w:val="20"/>
          <w:color w:val="auto"/>
        </w:rPr>
      </w:pPr>
    </w:p>
    <w:p>
      <w:pPr>
        <w:ind w:left="300" w:right="20" w:firstLine="426"/>
        <w:spacing w:after="0" w:line="258" w:lineRule="auto"/>
        <w:rPr>
          <w:sz w:val="20"/>
          <w:szCs w:val="20"/>
          <w:color w:val="auto"/>
        </w:rPr>
      </w:pPr>
      <w:r>
        <w:rPr>
          <w:rFonts w:ascii="Times New Roman" w:cs="Times New Roman" w:eastAsia="Times New Roman" w:hAnsi="Times New Roman"/>
          <w:sz w:val="18"/>
          <w:szCs w:val="18"/>
          <w:color w:val="auto"/>
        </w:rPr>
        <w:t>We are also a “smaller reporting company,” meaning that the market value of our stock held by non-affiliates was less than $700 million as of the last business day of the second fiscal quarter of our most recently completed fiscal year and our annual revenue was less than $100 million during our most recently completed fiscal year. We may continue to be a smaller reporting company if either (i) the market value of our stock held by non-affiliates is less than $250 million or (ii) our annual revenue is less than $100 million during the most recently completed fiscal year and the market value of our stock held by non-affiliates is less than $700 million.</w:t>
      </w:r>
    </w:p>
    <w:p>
      <w:pPr>
        <w:spacing w:after="0" w:line="183" w:lineRule="exact"/>
        <w:rPr>
          <w:sz w:val="20"/>
          <w:szCs w:val="20"/>
          <w:color w:val="auto"/>
        </w:rPr>
      </w:pPr>
    </w:p>
    <w:p>
      <w:pPr>
        <w:ind w:left="300" w:right="60" w:firstLine="426"/>
        <w:spacing w:after="0" w:line="261" w:lineRule="auto"/>
        <w:rPr>
          <w:sz w:val="20"/>
          <w:szCs w:val="20"/>
          <w:color w:val="auto"/>
        </w:rPr>
      </w:pPr>
      <w:r>
        <w:rPr>
          <w:rFonts w:ascii="Times New Roman" w:cs="Times New Roman" w:eastAsia="Times New Roman" w:hAnsi="Times New Roman"/>
          <w:sz w:val="18"/>
          <w:szCs w:val="18"/>
          <w:color w:val="auto"/>
        </w:rPr>
        <w:t>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30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320" w:top="455" w:right="6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2020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8970" cy="62020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Securities We May Offer</w:t>
      </w:r>
    </w:p>
    <w:p>
      <w:pPr>
        <w:spacing w:after="0" w:line="121" w:lineRule="exact"/>
        <w:rPr>
          <w:sz w:val="20"/>
          <w:szCs w:val="20"/>
          <w:color w:val="auto"/>
        </w:rPr>
      </w:pPr>
    </w:p>
    <w:p>
      <w:pPr>
        <w:ind w:left="300" w:right="60" w:firstLine="426"/>
        <w:spacing w:after="0" w:line="256" w:lineRule="auto"/>
        <w:rPr>
          <w:sz w:val="20"/>
          <w:szCs w:val="20"/>
          <w:color w:val="auto"/>
        </w:rPr>
      </w:pPr>
      <w:r>
        <w:rPr>
          <w:rFonts w:ascii="Times New Roman" w:cs="Times New Roman" w:eastAsia="Times New Roman" w:hAnsi="Times New Roman"/>
          <w:sz w:val="18"/>
          <w:szCs w:val="18"/>
          <w:color w:val="auto"/>
        </w:rPr>
        <w:t>We may offer any of the securities described in this prospectus, either individually or in combination with other securities, up to a total dollar amount of $200,000,000, from time to time under this prospectus, together with the applicable prospectus supplement and any related free writing prospectus, at prices and on terms to be determined by market conditions at the time of any offering. We may also offer common stock, preferred stock and/or debt securities upon the exercise of warrants. This prospectus provides you with a general description of the securities we may offer. Each time we offer a type or series of securities under this prospectus, we will provide a prospectus supplement that will describe the specific amounts, prices and other important terms of the securities, including, to the extent applicable:</w:t>
      </w:r>
    </w:p>
    <w:p>
      <w:pPr>
        <w:spacing w:after="0" w:line="93" w:lineRule="exact"/>
        <w:rPr>
          <w:sz w:val="20"/>
          <w:szCs w:val="20"/>
          <w:color w:val="auto"/>
        </w:rPr>
      </w:pPr>
    </w:p>
    <w:p>
      <w:pPr>
        <w:ind w:left="1240" w:hanging="415"/>
        <w:spacing w:after="0"/>
        <w:tabs>
          <w:tab w:leader="none" w:pos="1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designation or classification;</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principal amount or aggregate offering price;</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maturity date, if applicable;</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original issue discount, if any;</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rates and times of payment of interest or dividends, if any;</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conversion, exercise, exchange or sinking fund terms, if any;</w:t>
      </w:r>
    </w:p>
    <w:p>
      <w:pPr>
        <w:spacing w:after="0" w:line="130" w:lineRule="exact"/>
        <w:rPr>
          <w:rFonts w:ascii="Times New Roman" w:cs="Times New Roman" w:eastAsia="Times New Roman" w:hAnsi="Times New Roman"/>
          <w:sz w:val="18"/>
          <w:szCs w:val="18"/>
          <w:color w:val="auto"/>
        </w:rPr>
      </w:pPr>
    </w:p>
    <w:p>
      <w:pPr>
        <w:ind w:left="1240" w:right="340" w:hanging="415"/>
        <w:spacing w:after="0" w:line="282" w:lineRule="auto"/>
        <w:tabs>
          <w:tab w:leader="none" w:pos="1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or exchange prices or rates, if any, and, if applicable, any provisions for changes to or adjustments in the conversion or exchange prices or rates and in the securities or other property receivable upon conversion or exchange;</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ranking;</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restrictive covenants, if any;</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or other rights, if any;</w:t>
      </w:r>
    </w:p>
    <w:p>
      <w:pPr>
        <w:spacing w:after="0" w:line="130" w:lineRule="exact"/>
        <w:rPr>
          <w:rFonts w:ascii="Times New Roman" w:cs="Times New Roman" w:eastAsia="Times New Roman" w:hAnsi="Times New Roman"/>
          <w:sz w:val="18"/>
          <w:szCs w:val="18"/>
          <w:color w:val="auto"/>
        </w:rPr>
      </w:pPr>
    </w:p>
    <w:p>
      <w:pPr>
        <w:ind w:left="1240" w:right="340" w:hanging="415"/>
        <w:spacing w:after="0" w:line="282" w:lineRule="auto"/>
        <w:tabs>
          <w:tab w:leader="none" w:pos="1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or exchange prices or rates, if any, and, if applicable, any provisions for changes to or adjustments in the conversion or exchange prices or rates and in the securities or other property receivable upon conversion or exchange; and</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or special U.S. federal income tax considerations, if any.</w:t>
      </w:r>
    </w:p>
    <w:p>
      <w:pPr>
        <w:spacing w:after="0" w:line="225" w:lineRule="exact"/>
        <w:rPr>
          <w:sz w:val="20"/>
          <w:szCs w:val="20"/>
          <w:color w:val="auto"/>
        </w:rPr>
      </w:pPr>
    </w:p>
    <w:p>
      <w:pPr>
        <w:ind w:left="300" w:right="360" w:firstLine="426"/>
        <w:spacing w:after="0" w:line="261" w:lineRule="auto"/>
        <w:rPr>
          <w:sz w:val="20"/>
          <w:szCs w:val="20"/>
          <w:color w:val="auto"/>
        </w:rPr>
      </w:pPr>
      <w:r>
        <w:rPr>
          <w:rFonts w:ascii="Times New Roman" w:cs="Times New Roman" w:eastAsia="Times New Roman" w:hAnsi="Times New Roman"/>
          <w:sz w:val="18"/>
          <w:szCs w:val="18"/>
          <w:color w:val="auto"/>
        </w:rPr>
        <w:t>The applicable prospectus supplement and any related free writing prospectus that we may authorize to be provided to you may also add, update or change any of the information contained in this prospectus or in the documents we have incorporated by reference. However, no prospectus supplement or free writing prospectuses will offer a security that is not registered and described in this prospectus at the time of the effectiveness of the registration statement of which this prospectus is a part.</w:t>
      </w:r>
    </w:p>
    <w:p>
      <w:pPr>
        <w:spacing w:after="0" w:line="180" w:lineRule="exact"/>
        <w:rPr>
          <w:sz w:val="20"/>
          <w:szCs w:val="20"/>
          <w:color w:val="auto"/>
        </w:rPr>
      </w:pPr>
    </w:p>
    <w:p>
      <w:pPr>
        <w:ind w:left="300" w:firstLine="426"/>
        <w:spacing w:after="0" w:line="266" w:lineRule="auto"/>
        <w:rPr>
          <w:sz w:val="20"/>
          <w:szCs w:val="20"/>
          <w:color w:val="auto"/>
        </w:rPr>
      </w:pPr>
      <w:r>
        <w:rPr>
          <w:rFonts w:ascii="Times New Roman" w:cs="Times New Roman" w:eastAsia="Times New Roman" w:hAnsi="Times New Roman"/>
          <w:sz w:val="18"/>
          <w:szCs w:val="18"/>
          <w:color w:val="auto"/>
        </w:rPr>
        <w:t>We may sell the securities directly to investors or to or through agents, underwriters or dealers. We and our agents or underwriters, reserve the right to accept or reject all or part of any proposed purchase of securities. If we do offer securities to or through agents or underwriters, we will include in the applicable prospectus supplement:</w:t>
      </w:r>
    </w:p>
    <w:p>
      <w:pPr>
        <w:spacing w:after="0" w:line="81" w:lineRule="exact"/>
        <w:rPr>
          <w:sz w:val="20"/>
          <w:szCs w:val="20"/>
          <w:color w:val="auto"/>
        </w:rPr>
      </w:pPr>
    </w:p>
    <w:p>
      <w:pPr>
        <w:ind w:left="1240" w:hanging="415"/>
        <w:spacing w:after="0"/>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those agents or underwriters;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fees, discounts and commissions to be paid to them;</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details regarding overallotment options, if any; and</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to us.</w:t>
      </w:r>
    </w:p>
    <w:p>
      <w:pPr>
        <w:spacing w:after="0" w:line="34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0"/>
          </w:cols>
          <w:pgMar w:left="320" w:top="455" w:right="6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2292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8970" cy="22929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right="400"/>
        <w:spacing w:after="0" w:line="286" w:lineRule="auto"/>
        <w:rPr>
          <w:sz w:val="20"/>
          <w:szCs w:val="20"/>
          <w:color w:val="auto"/>
        </w:rPr>
      </w:pPr>
      <w:r>
        <w:rPr>
          <w:rFonts w:ascii="Times New Roman" w:cs="Times New Roman" w:eastAsia="Times New Roman" w:hAnsi="Times New Roman"/>
          <w:sz w:val="18"/>
          <w:szCs w:val="18"/>
          <w:b w:val="1"/>
          <w:bCs w:val="1"/>
          <w:color w:val="auto"/>
        </w:rPr>
        <w:t>THIS PROSPECTUS MAY NOT BE USED TO CONSUMMATE A SALE OF SECURITIES UNLESS IT IS ACCOMPANIED BY A PROSPECTUS SUPPLEMENT.</w:t>
      </w:r>
    </w:p>
    <w:p>
      <w:pPr>
        <w:spacing w:after="0" w:line="2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Except as described in any applicable prospectus supplement or in any free writing prospectuses we have authorized for use in connection with a specific offering, we currently intend to use the net proceeds from the sale of the securities offered by us hereunder, if any, for working capital and general corporate purposes. We will set forth in the applicable prospectus supplement or free writing prospectus our intended use for the net proceeds received from the sale of any securities sold pursuant to the prospectus supplement or free writing prospectus.</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Nasdaq Capital Market Listing</w:t>
      </w:r>
    </w:p>
    <w:p>
      <w:pPr>
        <w:spacing w:after="0" w:line="121" w:lineRule="exact"/>
        <w:rPr>
          <w:sz w:val="20"/>
          <w:szCs w:val="20"/>
          <w:color w:val="auto"/>
        </w:rPr>
      </w:pPr>
    </w:p>
    <w:p>
      <w:pPr>
        <w:jc w:val="both"/>
        <w:ind w:left="300" w:right="360" w:firstLine="426"/>
        <w:spacing w:after="0" w:line="266"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“INAB.” The applicable prospectus supplement will contain information, where applicable, as to other listings, if any, on the Nasdaq Capital Market or any other securities market or other exchange of the securities covered by the applicable prospectus supplement.</w:t>
      </w: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40"/>
          </w:cols>
          <w:pgMar w:left="320" w:top="455" w:right="6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Before deciding whether to invest in our securities, you should consider carefully the risks and uncertainties described under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contained in the applicable prospectus supplement and any related free writing prospectus, and discussed under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contained in our most recent Annual Report on Form 10-K and in our most recent Quarterly Report on Form 10-Q, as well as any amendments thereto reflected in subsequent filings with the SEC, which are incorporated by reference into this prospectus in their entirety, together with other information in this prospectus, the documents incorporated by reference and any free writing prospectus that we may authorize for use in connection with a specific offering. The risks described in these documents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 our business, financial condition, results of operations or cash flow could be harmed. This could cause the trading price of our securities to decline, resulting in a loss of all or part of your investment. Please also read carefully the section above titled </w:t>
      </w:r>
      <w:r>
        <w:rPr>
          <w:rFonts w:ascii="Times New Roman" w:cs="Times New Roman" w:eastAsia="Times New Roman" w:hAnsi="Times New Roman"/>
          <w:sz w:val="18"/>
          <w:szCs w:val="18"/>
          <w:i w:val="1"/>
          <w:iCs w:val="1"/>
          <w:color w:val="auto"/>
        </w:rPr>
        <w:t>“Special Note Regarding Forward-Looking Statements.”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55"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This prospectus and the documents we have filed with the SEC that are incorporated by reference contain “forward-looking statements” within the meaning of Section 27A of the Securities Act of 1933, as amended, or the Securities Act, and Section 21E of the Securities Exchange Act of 1934, as amended, or the Exchange Act. These statements relate to future events or to our future operating or financial performance and involve known and unknown risks, uncertainties and other factors that may cause our actual results, performance or achievements to be materially different from any future results, performances or achievements expressed or implied by the forward-looking statements. Forward-looking statements may include, but are not limited to, statements about:</w:t>
      </w:r>
    </w:p>
    <w:p>
      <w:pPr>
        <w:spacing w:after="0" w:line="93" w:lineRule="exact"/>
        <w:rPr>
          <w:sz w:val="20"/>
          <w:szCs w:val="20"/>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mitigate the substantial doubt to continue as a going concern;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capital requirements and needs for additional financing;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develop and commercialize our product candidates;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our current and future preclinical studies and clinical trials and our research and development programs;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take advantage of abbreviated regulatory pathways for any of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acquire or in-license additional product candidates on reasonable terms;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establish collaborations or obtain additional funding;</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regulatory approval of our current and future product candidates, including our ability to file investigational new drug applications to commence additional clinical trials;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potential market size and the rate and degree of market acceptance of such product candidates;</w:t>
      </w:r>
    </w:p>
    <w:p>
      <w:pPr>
        <w:spacing w:after="0" w:line="130" w:lineRule="exact"/>
        <w:rPr>
          <w:rFonts w:ascii="Times New Roman" w:cs="Times New Roman" w:eastAsia="Times New Roman" w:hAnsi="Times New Roman"/>
          <w:sz w:val="18"/>
          <w:szCs w:val="18"/>
          <w:color w:val="auto"/>
        </w:rPr>
      </w:pPr>
    </w:p>
    <w:p>
      <w:pPr>
        <w:ind w:left="1080" w:right="72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reliance on third parties to conduct clinical trials of our product candidates, and for the manufacture of our product candidates for preclinical studies and clinical trials;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business and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 and the duration of our patent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intellectual property or other proprietary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government and third-party payor coverage and reimbursement;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in the markets we intend to serve;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government operations, laws and regulations and liabilities thereunder;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hire additional personnel and our ability to attract and retain such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130"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impact of the current government shutdown, international tariffs, public health crises and geopolitical tensions, such as the Russia-Ukraine and Israel-Hamas wars, on our business, our industry and the economy;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contribute to eliminate cancer and achieve cancer-free status in any or all patients;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that may impact our financial results;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the proceeds from any offering of securities.</w:t>
      </w:r>
    </w:p>
    <w:p>
      <w:pPr>
        <w:spacing w:after="0" w:line="225"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All statements other than statements of historical facts contained in this prospectus, including statements regarding our future financial condition, business strategy and plans, and objectives of management for future operations, are forward-looking statements. In some cases, you can identify forward-looking statements by words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00"/>
          </w:cols>
          <w:pgMar w:left="320" w:top="455" w:right="4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such as “anticipate,” “believe,” “continue,” “could,” “design,” “estimate,” “expect,” “intend,” “may,” “plan,” “potentially,” “predict,” “should,” “will” or the negative of these terms or other similar expressions. These statements reflect our current views with respect to future events and are based on assumptions and are subject to risks and uncertainties. Given these uncertainties, you should not place undue reliance on these forward-looking statements.</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evaluating such forward-looking statements, you should consider various factors, including specifically the risks outlined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contained in this prospectus, any accompanying prospectus supplement and any related free writing prospectus, and in our most recent Annual Report on Form 10-K and any Quarterly Report on Form 10-Q or Current Report on Form 8-K we subsequently file with the SEC. The discussion of risks and uncertainties set forth in those filings is not necessarily a complete or exhaustive list of all risks facing us at any particular point in time. As a result of these factors, we cannot assure you that the forward-looking statements contained in or incorporated by reference into this prospectus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 except as required by law. Forward-looking statements represent our estimates and assumptions only as of the date such forward-looking statements are made.</w:t>
      </w:r>
    </w:p>
    <w:p>
      <w:pPr>
        <w:spacing w:after="0" w:line="194"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83"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You should read this prospectus, any applicable prospectus supplement, together with the documents we have filed with the SEC that are incorporated by reference and any free writing prospectus that we may authorize for use in connection with a specific offering completely and with the understanding that our actual future results may be materially different from what we expect. We qualify all of the forward-looking statements in the foregoing documents by these cautionary statements.</w:t>
      </w:r>
    </w:p>
    <w:p>
      <w:pPr>
        <w:spacing w:after="0" w:line="11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320" w:top="455" w:right="5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Except as described in any applicable prospectus supplement or in any free writing prospectuses we have authorized for use in connection with a specific offering, we currently intend to use the net proceeds for working capital and general corporate purposes. We will set forth in the applicable prospectus supplement or free writing prospectus our intended use for the net proceeds received from the sale of any securities sold pursuant to the prospectus supplement or free writing prospectus.</w:t>
      </w:r>
    </w:p>
    <w:p>
      <w:pPr>
        <w:spacing w:after="0" w:line="11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0"/>
          </w:cols>
          <w:pgMar w:left="320" w:top="455" w:right="5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7" w:lineRule="exact"/>
        <w:rPr>
          <w:sz w:val="20"/>
          <w:szCs w:val="20"/>
          <w:color w:val="auto"/>
        </w:rPr>
      </w:pPr>
    </w:p>
    <w:p>
      <w:pPr>
        <w:jc w:val="both"/>
        <w:ind w:left="120" w:right="6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description of our capital stock is not complete and may not contain all the information you should consider before investing in our capital stock. This description is summarized from, and qualified in its entirety by reference to, our certificate of incorporation, which has been publicly filed with the SEC. See “Where You Can Find Additional Information” and “Incorporation of Certain Information by Reference.”</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Our authorized capital stock consists of 490,000,000 shares of common stock, par value $0.0001 per share, and 10,000,000 shares of preferred stock, par value $0.0001 per share.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Each holder of common stock is entitled to one vote for each share on all matters submitted to a vote of the stockholders. The affirmative vote of holders of at least 66 2∕3% of the voting power of all of the then-outstanding shares of capital stock, voting as a single class, is required to amend certain provisions of our amended and restated certificate of incorporation, including provisions relating to amending our amended and restated bylaws, the classified board, the size of our board, removal of directors, director liability, vacancies on our board, special meetings, stockholder notices, actions by written consent and exclusive jurisdiction.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ind w:left="120" w:right="700" w:firstLine="440"/>
        <w:spacing w:after="0" w:line="282" w:lineRule="auto"/>
        <w:rPr>
          <w:sz w:val="20"/>
          <w:szCs w:val="20"/>
          <w:color w:val="auto"/>
        </w:rPr>
      </w:pPr>
      <w:r>
        <w:rPr>
          <w:rFonts w:ascii="Times New Roman" w:cs="Times New Roman" w:eastAsia="Times New Roman" w:hAnsi="Times New Roman"/>
          <w:sz w:val="18"/>
          <w:szCs w:val="18"/>
          <w:color w:val="auto"/>
        </w:rPr>
        <w:t>Subject to preferences that may apply to any outstanding preferred stock, holders of our common stock are entitled to receive ratably any dividends that our board of directors may declare out of funds legally available for that purpose on a non-cumulative basis.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Liquidation</w:t>
      </w:r>
    </w:p>
    <w:p>
      <w:pPr>
        <w:spacing w:after="0" w:line="121"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In the event of our liquidation, dissolution or winding up, holders of our common stock will be entitled to share ratably in the net assets legally available for distribution to stockholders after the payment of all of our debts and other liabilities, subject to the satisfaction of any liquidation preference granted to the holders of any outstanding shares of preferred stock.</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Rights and Preferences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Holders of our common stock have no preemptive, conversion or subscription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and issue in the future.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Under our amended and restated certificate of incorporation, our board of directors may, without further action by our stockholders, fix the rights, preferences, privileges and restrictions of up to an aggregate of 10,000,000 shares of preferred stock in one or more series and authorize their issuance. These rights, preferences and privileges could include dividend rights, conversion rights, voting rights, terms of redemption, liquidation preferences and the number of shares constituting any series or the designation of such series, any or all of which may be greater than the rights of common stock. Any issuance of preferred stock could adversely affect the voting power of holders of common stock and the likelihood that such holders would receive dividend payments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and payments on liquidation. In addition, the issuance of preferred stock could have the effect of delaying, deterring or preventing a change of control or other corporate action.</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will fix the designations, voting powers, preferences and rights of the preferred stock of each series we issue under this prospectus, as well as the qualifications, limitations or restrictions thereof, in the certificate of designation relating to that series. We will file as an exhibit to the registration statement of which this prospectus is a part, or will incorporate by reference from reports that we file with the SEC, the form of any certificate of designation that contains the terms of the series of preferred stock we are offering. We will describe in the applicable prospectus supplement the terms of the series of preferred stock being offered, including, to the extent applicable:</w:t>
      </w:r>
    </w:p>
    <w:p>
      <w:pPr>
        <w:spacing w:after="0" w:line="89" w:lineRule="exact"/>
        <w:rPr>
          <w:sz w:val="20"/>
          <w:szCs w:val="20"/>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stated value;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we are offering;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preference per share;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 period and payment date and method of calculation for dividends;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will be cumulative or non-cumulative and, if cumulative, the date from which dividends will accumulate;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for any auction and remarketing, if applicable;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a sinking fund, if applicable;</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redemption or repurchase, if applicable, and any restrictions on our ability to exercise those redemption and repurchase rights;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of the preferred stock on any securities exchange or market;</w:t>
      </w:r>
    </w:p>
    <w:p>
      <w:pPr>
        <w:spacing w:after="0" w:line="130" w:lineRule="exact"/>
        <w:rPr>
          <w:rFonts w:ascii="Times New Roman" w:cs="Times New Roman" w:eastAsia="Times New Roman" w:hAnsi="Times New Roman"/>
          <w:sz w:val="18"/>
          <w:szCs w:val="18"/>
          <w:color w:val="auto"/>
        </w:rPr>
      </w:pPr>
    </w:p>
    <w:p>
      <w:pPr>
        <w:ind w:left="1080" w:right="80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convertible into our common stock, and, if applicable, the conversion price, or how it will be calculated, and the conversion period;</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exchangeable into debt securities, and, if applicable, the exchange price, or how it will be calculated, and the exchange period;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 of the preferred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preemptive rights,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transfer, sale or other assignment;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interests in the preferred stock will be represented by depositary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or special U.S. federal income tax considerations applicable to the preferred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ranking and preferences of the preferred stock as to dividend rights and rights if we liquidate, dissolve or wind up our affairs;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the issuance of any class or series of preferred stock ranking senior to or on a parity with the series of preferred stock as to dividend rights and rights if we liquidate, dissolve or wind up our affairs;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preferred stock.</w:t>
      </w:r>
    </w:p>
    <w:p>
      <w:pPr>
        <w:spacing w:after="0" w:line="225"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 General Corporation Law of the State of Delaware, or DGCL, the state of our incorporation, provides that the holders of preferred stock will have the right to vote separately as a class (or, in some cases, as a series) on an amendment to our certificate of incorporation if the amendment would change the par value or, unless the certificate of incorporation provided otherwise, the number of authorized shares of the class or change the powers, preferences or special rights of the class or series so as to adversely affect the class or series, as the case may be. This right is in addition to any voting rights that may be provided for in the applicable certificate of designation.</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Provisions of Delaware Law and Our Charter Documents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Certificate of Incorporation and Bylaws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Among other things, our amended and restated certificate of incorporation and amended and restated bylaws:</w:t>
      </w:r>
    </w:p>
    <w:p>
      <w:pPr>
        <w:spacing w:after="0" w:line="131" w:lineRule="exact"/>
        <w:rPr>
          <w:sz w:val="20"/>
          <w:szCs w:val="20"/>
          <w:color w:val="auto"/>
        </w:rPr>
      </w:pPr>
    </w:p>
    <w:p>
      <w:pPr>
        <w:ind w:left="1080" w:right="16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our board of directors to issue up to 10,000,000 shares of preferred stock, with any rights, preferences and privileges as they may designate, including the right to approve an acquisition or other change in control;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authorized number of directors may be changed only by resolution of our board of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board of directors will be classified into three classes of directors;</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66"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subject to the rights of any series of preferred stock to elect directors, directors may only be removed for cause, which removal may be effected, subject to any limitation imposed by law, by the holders of at least 66 2/3% of the voting power of all of our then-outstanding shares of the capital stock entitled to vote generally at an election of directors;</w:t>
      </w:r>
    </w:p>
    <w:p>
      <w:pPr>
        <w:spacing w:after="0" w:line="81"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all vacancies, including newly created directorships, may, except as otherwise required by law, be filled by the affirmative vote of a majority of directors then in office, even if less than a quorum;</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any action to be taken by our stockholders must be effected at a duly called annual or special meeting of stockholders and not be taken by written consent or electronic transmission;</w:t>
      </w:r>
    </w:p>
    <w:p>
      <w:pPr>
        <w:spacing w:after="0" w:line="67"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p>
      <w:pPr>
        <w:spacing w:after="0" w:line="81"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special meetings of our stockholders may be called only by the chairman of our board of directors, our chief executive officer or president or by our board of directors pursuant to a resolution adopted by a majority of the total number of authorized directors; and</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provide for cumulative voting rights, therefore allowing the holders of a majority of the shares of common stock entitled to vote in any election of directors to elect all of the directors standing for election, if they should so choose.</w:t>
      </w:r>
    </w:p>
    <w:p>
      <w:pPr>
        <w:spacing w:after="0" w:line="162"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amendment of any of these provisions requires approval by the holders of at least 66 2/3% of the voting power of all of our then-outstanding common stock entitled to vote generally in the election of directors, voting together as a single class.</w:t>
      </w:r>
    </w:p>
    <w:p>
      <w:pPr>
        <w:spacing w:after="0" w:line="162"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combination of these provisions will make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 that could result from actual or rumored takeover attempts.</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60"/>
          </w:cols>
          <w:pgMar w:left="320" w:top="455" w:right="5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Section 203 of the Delaware General Corporation Law</w:t>
      </w:r>
    </w:p>
    <w:p>
      <w:pPr>
        <w:spacing w:after="0" w:line="121" w:lineRule="exact"/>
        <w:rPr>
          <w:sz w:val="20"/>
          <w:szCs w:val="20"/>
          <w:color w:val="auto"/>
        </w:rPr>
      </w:pPr>
    </w:p>
    <w:p>
      <w:pPr>
        <w:ind w:left="120" w:right="240" w:firstLine="440"/>
        <w:spacing w:after="0" w:line="312" w:lineRule="auto"/>
        <w:rPr>
          <w:sz w:val="20"/>
          <w:szCs w:val="20"/>
          <w:color w:val="auto"/>
        </w:rPr>
      </w:pPr>
      <w:r>
        <w:rPr>
          <w:rFonts w:ascii="Times New Roman" w:cs="Times New Roman" w:eastAsia="Times New Roman" w:hAnsi="Times New Roman"/>
          <w:sz w:val="17"/>
          <w:szCs w:val="17"/>
          <w:color w:val="auto"/>
        </w:rPr>
        <w:t>We are subject to Section 203 of the DGCL,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45" w:lineRule="exact"/>
        <w:rPr>
          <w:sz w:val="20"/>
          <w:szCs w:val="20"/>
          <w:color w:val="auto"/>
        </w:rPr>
      </w:pPr>
    </w:p>
    <w:p>
      <w:pPr>
        <w:ind w:left="1080" w:right="18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such date, the board of directors of the corporation approved either the business combination or the transaction that resulted in the stockholder becoming an interested stockholder;</w:t>
      </w:r>
    </w:p>
    <w:p>
      <w:pPr>
        <w:spacing w:after="0" w:line="67" w:lineRule="exact"/>
        <w:rPr>
          <w:rFonts w:ascii="Times New Roman" w:cs="Times New Roman" w:eastAsia="Times New Roman" w:hAnsi="Times New Roman"/>
          <w:sz w:val="18"/>
          <w:szCs w:val="18"/>
          <w:color w:val="auto"/>
        </w:rPr>
      </w:pPr>
    </w:p>
    <w:p>
      <w:pPr>
        <w:ind w:left="1080" w:right="40" w:hanging="424"/>
        <w:spacing w:after="0" w:line="258"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88"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such date, the business combination is approved by the board of directors and authorized at an annual or special meeting of the stockholders, and not by written consent, by the affirmative vote of at least 66 2/3% of the outstanding voting stock that is not owned by the interested stockholder.</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general, Section 203 defines a “business combination” to include the following:</w:t>
      </w:r>
    </w:p>
    <w:p>
      <w:pPr>
        <w:spacing w:after="0" w:line="131" w:lineRule="exact"/>
        <w:rPr>
          <w:sz w:val="20"/>
          <w:szCs w:val="20"/>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and the interested stockholder;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pledge or other disposition of 10% or more of the assets of the corporation involving the interested stockholder;</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any transaction that results in the issuance or transfer by the corporation of any stock of the corporation to the interested stockholder;</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involving the corporation that has the effect of increasing the proportionate share of the stock or any class or series of the corporation beneficially owned by the interested stockholder; and</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by or through the corporation.</w:t>
      </w:r>
    </w:p>
    <w:p>
      <w:pPr>
        <w:spacing w:after="0" w:line="162"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176"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statute could prohibit or delay mergers or other takeover or change in control attempts and, accordingly, may discourage attempts to acquire us even though such a transaction may offer our stockholders the opportunity to sell their stock at a price above the prevailing market price.</w:t>
      </w:r>
    </w:p>
    <w:p>
      <w:pPr>
        <w:spacing w:after="0" w:line="162"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A Delaware corporation may “opt out” of these provisions with an express provision in its certificate of incorporation. We have not opted out of these provisions, which may, as a result, discourage or prevent mergers or other takeover or change of control attempts of us.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Choice of Forum</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therefrom shall be the sole and exclusive forum for the following claims or causes of action brought under Delaware statutory or</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common law: (1) any derivative claim or action brought on our behalf; (2) any claim or cause of action asserting a breach of fiduciary duty by any of our current or former director, officer or other employee; (3) any claim or cause of action asserting a claim against us arising out of, or pursuant to, the DGCL, our amended and restated certificate of incorporation or our amended and restated bylaws; (4) any claim or cause of action seeking to interpret, apply, enforce or determine the validity of our amended and restated certificate of incorporation or our amended and restated bylaws (including any right, obligation, or remedy thereunder); (5) any claim or cause of action as to which the DGCL confers jurisdiction to the Court of Chancery of the State of Delaware; or (6) any claim or cause of action asserting a claim against us or any of our directors, officers or other employees, that is governed by the internal affairs doctrine, in all cases to the fullest extent permitted by law and subject to the court having personal jurisdiction over the indispensable parties named as defendants. The aforementioned provision will not apply to claims or causes of action brought to enforce a duty or liability created by the Securities Act, the Exchange Act or any other claim for which the federal courts have exclusive jurisdiction.</w:t>
      </w:r>
    </w:p>
    <w:p>
      <w:pPr>
        <w:spacing w:after="0" w:line="188"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addition, our amended and restated certificate of incorporation further provides that, unless we consent writing to the selection of an alternative forum, the federal district courts of the United States of America will be the exclusive forum, to the fullest extent permitted by law, for resolving any complaint asserting a cause or causes of action arising under the Securities Act, including all causes of action asserted against any defendant to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w:t>
      </w:r>
    </w:p>
    <w:p>
      <w:pPr>
        <w:spacing w:after="0" w:line="187" w:lineRule="exact"/>
        <w:rPr>
          <w:sz w:val="20"/>
          <w:szCs w:val="20"/>
          <w:color w:val="auto"/>
        </w:rPr>
      </w:pPr>
    </w:p>
    <w:p>
      <w:pPr>
        <w:ind w:left="120" w:right="500" w:firstLine="440"/>
        <w:spacing w:after="0" w:line="266" w:lineRule="auto"/>
        <w:rPr>
          <w:sz w:val="20"/>
          <w:szCs w:val="20"/>
          <w:color w:val="auto"/>
        </w:rPr>
      </w:pPr>
      <w:r>
        <w:rPr>
          <w:rFonts w:ascii="Times New Roman" w:cs="Times New Roman" w:eastAsia="Times New Roman" w:hAnsi="Times New Roman"/>
          <w:sz w:val="18"/>
          <w:szCs w:val="18"/>
          <w:color w:val="auto"/>
        </w:rPr>
        <w:t>The enforceability of similar choice of forum provisions in other companies’ certificates of incorporation has been challenged in legal proceedings, and it is possible that, in connection with one or more actions or proceedings described above, a court could find the choice of forum provisions contained in our amended and restated certificate of incorporation to be inapplicable or unenforceable.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21"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trading symbol “INAB.” The applicable prospectus supplement will contain information, where applicable, as to any other listing, if any, on the Nasdaq Capital Market or any securities market or other exchange of the preferred stock covered by such prospectus supplement.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common stock is Computershare Trust Company, N.A. The transfer agent’s address is 150 Royall Street, Canton, Massachusetts 02021.</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40"/>
          </w:cols>
          <w:pgMar w:left="320" w:top="455" w:right="4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will issue the debt securities under the indenture that we will enter into with the trustee named in the indenture. The indenture will be qualified under the Trust Indenture Act of 1939, as amended, or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83"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180" w:firstLine="440"/>
        <w:spacing w:after="0" w:line="281" w:lineRule="auto"/>
        <w:rPr>
          <w:sz w:val="20"/>
          <w:szCs w:val="20"/>
          <w:color w:val="auto"/>
        </w:rPr>
      </w:pPr>
      <w:r>
        <w:rPr>
          <w:rFonts w:ascii="Times New Roman" w:cs="Times New Roman" w:eastAsia="Times New Roman" w:hAnsi="Times New Roman"/>
          <w:sz w:val="17"/>
          <w:szCs w:val="17"/>
          <w:color w:val="auto"/>
        </w:rPr>
        <w:t>The indenture does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w:t>
      </w:r>
    </w:p>
    <w:p>
      <w:pPr>
        <w:spacing w:after="0" w:line="164"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or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debt securities being offered, including:</w:t>
      </w:r>
    </w:p>
    <w:p>
      <w:pPr>
        <w:spacing w:after="0" w:line="131" w:lineRule="exact"/>
        <w:rPr>
          <w:sz w:val="20"/>
          <w:szCs w:val="20"/>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 of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aggregate principal amount that may be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or 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the debt securities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applicability of any guarantees;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debt securities will be secured or unsecured, and the terms of any secured debt;</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rank as senior debt, senior subordinated debt, subordinated debt or any combination thereof, and the terms of any subordination;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120" w:hanging="424"/>
        <w:spacing w:after="0" w:line="261"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w:t>
      </w:r>
    </w:p>
    <w:p>
      <w:pPr>
        <w:spacing w:after="0" w:line="85"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if any, to defer payment of interest and the maximum length of any such deferral period;</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or dates after which, or the period or periods during which, and the price or prices at which, we may, at our option, redeem the series of debt securities pursuant to any optional or provisional redemption provisions and the terms of those redemption provisions;</w:t>
      </w:r>
    </w:p>
    <w:p>
      <w:pPr>
        <w:spacing w:after="0" w:line="81"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w:t>
      </w:r>
    </w:p>
    <w:p>
      <w:pPr>
        <w:spacing w:after="0" w:line="81"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we will issue the series of debt securities, if other than denominations of $1,000 and any integral multiple thereof;</w:t>
      </w:r>
    </w:p>
    <w:p>
      <w:pPr>
        <w:spacing w:after="0" w:line="67" w:lineRule="exact"/>
        <w:rPr>
          <w:rFonts w:ascii="Times New Roman" w:cs="Times New Roman" w:eastAsia="Times New Roman" w:hAnsi="Times New Roman"/>
          <w:sz w:val="18"/>
          <w:szCs w:val="18"/>
          <w:color w:val="auto"/>
        </w:rPr>
      </w:pPr>
    </w:p>
    <w:p>
      <w:pPr>
        <w:ind w:left="1080" w:right="460" w:hanging="424"/>
        <w:spacing w:after="0" w:line="266"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w:t>
      </w:r>
    </w:p>
    <w:p>
      <w:pPr>
        <w:spacing w:after="0" w:line="81"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w:t>
      </w:r>
    </w:p>
    <w:p>
      <w:pPr>
        <w:spacing w:after="0" w:line="81"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w:t>
      </w:r>
    </w:p>
    <w:p>
      <w:pPr>
        <w:spacing w:after="0" w:line="85"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full principal amount thereof, the portion of the principal amount of debt securities of the series which shall be payable upon declaration of acceleration of the maturity thereof;</w:t>
      </w:r>
    </w:p>
    <w:p>
      <w:pPr>
        <w:spacing w:after="0" w:line="67" w:lineRule="exact"/>
        <w:rPr>
          <w:rFonts w:ascii="Times New Roman" w:cs="Times New Roman" w:eastAsia="Times New Roman" w:hAnsi="Times New Roman"/>
          <w:sz w:val="18"/>
          <w:szCs w:val="18"/>
          <w:color w:val="auto"/>
        </w:rPr>
      </w:pPr>
    </w:p>
    <w:p>
      <w:pPr>
        <w:ind w:left="1080" w:right="102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covenants applicable to the particular debt securities being issued, including, among others, the consolidation, merger or sale covenant;</w:t>
      </w:r>
    </w:p>
    <w:p>
      <w:pPr>
        <w:spacing w:after="0" w:line="67"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events of default with respect to the securities and any change in the right of the trustee or the holders to declare the principal, premium, if any, and interest, if any, with respect to such securities to be due and payable;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or deletions of the provisions relating to covenant defeasance and legal defeasance;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provisions relating to satisfaction and discharge of the indenture;</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provisions relating to the modification of the indenture both with and without the consent of holders of debt securities issued under the indenture;</w:t>
      </w:r>
    </w:p>
    <w:p>
      <w:pPr>
        <w:spacing w:after="0" w:line="67" w:lineRule="exact"/>
        <w:rPr>
          <w:rFonts w:ascii="Times New Roman" w:cs="Times New Roman" w:eastAsia="Times New Roman" w:hAnsi="Times New Roman"/>
          <w:sz w:val="18"/>
          <w:szCs w:val="18"/>
          <w:color w:val="auto"/>
        </w:rPr>
      </w:pPr>
    </w:p>
    <w:p>
      <w:pPr>
        <w:ind w:left="5540" w:right="140" w:hanging="4884"/>
        <w:spacing w:after="0" w:line="454" w:lineRule="auto"/>
        <w:tabs>
          <w:tab w:leader="none" w:pos="109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payment of debt securities if other than U.S. dollars and the manner of determining the equivalent amount in U.S. dollars; 15</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8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 will be payable in cash or additional debt securities at our or the holders’ option and the terms and conditions upon which the election may be made;</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upon which we will pay amounts in addition to the stated interest, premium, if any and principal amounts of the debt securities of the series to any holder that is not a “United States person” for federal tax purposes;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transfer, sale or assignment of the debt securities of the series; and</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debt securities, any other additions or changes in the provisions of the indenture, and any terms that may be required by us or advisable under applicable laws or regulations.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Conversion or Exchange Rights</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We will set forth in the applicable prospectus supplement the terms on which a series of debt securities may be convertible into or exchangeable for our common stock or our other securities. We will include provisions as to settlement upon conversion or exchange and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Consolidation, Merger or Sale</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 subsidiary of ours) must assume all of our obligations under the indenture or the debt securities, as appropriate.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 under the Indenture</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Unless we provide otherwise in the prospectus supplement applicable to a particular series of debt securities, the following are events of default under the indenture with respect to any series of debt securities that we may issue:</w:t>
      </w:r>
    </w:p>
    <w:p>
      <w:pPr>
        <w:spacing w:after="0" w:line="67" w:lineRule="exact"/>
        <w:rPr>
          <w:sz w:val="20"/>
          <w:szCs w:val="20"/>
          <w:color w:val="auto"/>
        </w:rPr>
      </w:pPr>
    </w:p>
    <w:p>
      <w:pPr>
        <w:jc w:val="both"/>
        <w:ind w:left="1080" w:right="80" w:hanging="424"/>
        <w:spacing w:after="0" w:line="266"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w:t>
      </w:r>
    </w:p>
    <w:p>
      <w:pPr>
        <w:spacing w:after="0" w:line="81"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w:t>
      </w:r>
    </w:p>
    <w:p>
      <w:pPr>
        <w:spacing w:after="0" w:line="85"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specified events of bankruptcy, insolvency or reorganization occur.</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w:t>
      </w:r>
    </w:p>
    <w:p>
      <w:pPr>
        <w:spacing w:after="0" w:line="187"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spacing w:after="0" w:line="176"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89" w:lineRule="exact"/>
        <w:rPr>
          <w:sz w:val="20"/>
          <w:szCs w:val="20"/>
          <w:color w:val="auto"/>
        </w:rPr>
      </w:pPr>
    </w:p>
    <w:p>
      <w:pPr>
        <w:ind w:left="1540" w:hanging="331"/>
        <w:spacing w:after="0"/>
        <w:tabs>
          <w:tab w:leader="none" w:pos="1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direction so given by the holder is not in conflict with any law or the applicable indenture; and</w:t>
      </w:r>
    </w:p>
    <w:p>
      <w:pPr>
        <w:spacing w:after="0" w:line="130" w:lineRule="exact"/>
        <w:rPr>
          <w:rFonts w:ascii="Times New Roman" w:cs="Times New Roman" w:eastAsia="Times New Roman" w:hAnsi="Times New Roman"/>
          <w:sz w:val="18"/>
          <w:szCs w:val="18"/>
          <w:color w:val="auto"/>
        </w:rPr>
      </w:pPr>
    </w:p>
    <w:p>
      <w:pPr>
        <w:ind w:left="1540" w:right="240" w:hanging="331"/>
        <w:spacing w:after="0" w:line="282" w:lineRule="auto"/>
        <w:tabs>
          <w:tab w:leader="none" w:pos="1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its duties under the Trust Indenture Act, the trustee need not take any action that might involve it in personal liability or might be unduly prejudicial to the holders not involved in the proceeding.</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 holder of the debt securities of any series will have the right to institute a proceeding under the indenture or to appoint a receiver or trustee, or to seek other remedies only if:</w:t>
      </w:r>
    </w:p>
    <w:p>
      <w:pPr>
        <w:spacing w:after="0" w:line="67" w:lineRule="exact"/>
        <w:rPr>
          <w:sz w:val="20"/>
          <w:szCs w:val="20"/>
          <w:color w:val="auto"/>
        </w:rPr>
      </w:pPr>
    </w:p>
    <w:p>
      <w:pPr>
        <w:ind w:left="1540" w:hanging="331"/>
        <w:spacing w:after="0"/>
        <w:tabs>
          <w:tab w:leader="none" w:pos="1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has given written notice to the trustee of a continuing event of default with respect to that series;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aggregate principal amount of the outstanding debt securities of that series have made written request,</w:t>
      </w:r>
    </w:p>
    <w:p>
      <w:pPr>
        <w:spacing w:after="0" w:line="130" w:lineRule="exact"/>
        <w:rPr>
          <w:rFonts w:ascii="Times New Roman" w:cs="Times New Roman" w:eastAsia="Times New Roman" w:hAnsi="Times New Roman"/>
          <w:sz w:val="18"/>
          <w:szCs w:val="18"/>
          <w:color w:val="auto"/>
        </w:rPr>
      </w:pPr>
    </w:p>
    <w:p>
      <w:pPr>
        <w:ind w:left="1540" w:right="260" w:hanging="331"/>
        <w:spacing w:after="0" w:line="282" w:lineRule="auto"/>
        <w:tabs>
          <w:tab w:leader="none" w:pos="1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holders have offered to the trustee indemnity satisfactory to it against the costs, expenses and liabilities to be incurred by the trustee in compliance with the request; and</w:t>
      </w:r>
    </w:p>
    <w:p>
      <w:pPr>
        <w:spacing w:after="0" w:line="67" w:lineRule="exact"/>
        <w:rPr>
          <w:rFonts w:ascii="Times New Roman" w:cs="Times New Roman" w:eastAsia="Times New Roman" w:hAnsi="Times New Roman"/>
          <w:sz w:val="18"/>
          <w:szCs w:val="18"/>
          <w:color w:val="auto"/>
        </w:rPr>
      </w:pPr>
    </w:p>
    <w:p>
      <w:pPr>
        <w:ind w:left="1540" w:right="20" w:hanging="331"/>
        <w:spacing w:after="0" w:line="282" w:lineRule="auto"/>
        <w:tabs>
          <w:tab w:leader="none" w:pos="1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spacing w:after="0" w:line="162"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These limitations do not apply to a suit instituted by a holder of debt securities if we default in the payment of the principal, premium, if any, or interest on, the debt securities.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periodically file statements with the trustee regarding our compliance with specified covenants in the indenture.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of Indenture; Waiver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and the trustee may change an indenture without the consent of any holders with respect to specific matters:</w:t>
      </w:r>
    </w:p>
    <w:p>
      <w:pPr>
        <w:spacing w:after="0" w:line="131" w:lineRule="exact"/>
        <w:rPr>
          <w:sz w:val="20"/>
          <w:szCs w:val="20"/>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 in the indenture or in the debt securities of any series;</w:t>
      </w:r>
    </w:p>
    <w:p>
      <w:pPr>
        <w:spacing w:after="0" w:line="130" w:lineRule="exact"/>
        <w:rPr>
          <w:rFonts w:ascii="Times New Roman" w:cs="Times New Roman" w:eastAsia="Times New Roman" w:hAnsi="Times New Roman"/>
          <w:sz w:val="18"/>
          <w:szCs w:val="18"/>
          <w:color w:val="auto"/>
        </w:rPr>
      </w:pPr>
    </w:p>
    <w:p>
      <w:pPr>
        <w:ind w:left="5540" w:right="1420" w:hanging="4884"/>
        <w:spacing w:after="0" w:line="454" w:lineRule="auto"/>
        <w:tabs>
          <w:tab w:leader="none" w:pos="109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provisions described above under “Description of Debt Securities—Consolidation, Merger or Sale;” 17</w:t>
      </w:r>
    </w:p>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debt securities in addition to or in place of certificated debt securities;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61"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w:t>
      </w:r>
    </w:p>
    <w:p>
      <w:pPr>
        <w:spacing w:after="0" w:line="85" w:lineRule="exact"/>
        <w:rPr>
          <w:rFonts w:ascii="Times New Roman" w:cs="Times New Roman" w:eastAsia="Times New Roman" w:hAnsi="Times New Roman"/>
          <w:sz w:val="18"/>
          <w:szCs w:val="18"/>
          <w:color w:val="auto"/>
        </w:rPr>
      </w:pPr>
    </w:p>
    <w:p>
      <w:pPr>
        <w:ind w:left="1080" w:right="76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delete from or revise the conditions, limitations, and restrictions on the authorized amount, terms, or purposes of issue, authentication and delivery of debt securities, as set forth in the indenture;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interests of any holder of debt securities of any series in any material respect;</w:t>
      </w:r>
    </w:p>
    <w:p>
      <w:pPr>
        <w:spacing w:after="0" w:line="130" w:lineRule="exact"/>
        <w:rPr>
          <w:rFonts w:ascii="Times New Roman" w:cs="Times New Roman" w:eastAsia="Times New Roman" w:hAnsi="Times New Roman"/>
          <w:sz w:val="18"/>
          <w:szCs w:val="18"/>
          <w:color w:val="auto"/>
        </w:rPr>
      </w:pPr>
    </w:p>
    <w:p>
      <w:pPr>
        <w:jc w:val="both"/>
        <w:ind w:left="1080" w:right="140" w:hanging="424"/>
        <w:spacing w:after="0" w:line="266"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the debt securities of any series as provided above under “Description of Debt Securities—General” to establish the form of any certifications required to be furnished pursuant to the terms of the indenture or any series of debt securities, or to add to the rights of the holders of any series of debt securities;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under any indenture by a successor trustee;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any requirements of the SEC in connection with the qualification of any indenture under the Trust Indenture Act.</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w:t>
      </w:r>
    </w:p>
    <w:p>
      <w:pPr>
        <w:spacing w:after="0" w:line="85" w:lineRule="exact"/>
        <w:rPr>
          <w:sz w:val="20"/>
          <w:szCs w:val="20"/>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the fixed maturity of any debt securities of any series;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principal amount, reducing the rate of or extending the time of payment of interest, or reducing any premium payable upon the redemption of any series of any debt securities; or</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percentage of debt securities, the holders of which are required to consent to any amendment, supplement, modification or waiver.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Discharge</w:t>
      </w:r>
    </w:p>
    <w:p>
      <w:pPr>
        <w:spacing w:after="0" w:line="121"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Each indenture provides that we can elect to be discharged from our obligations with respect to one or more series of debt securities, except for specified obligations, including obligations to:</w:t>
      </w:r>
    </w:p>
    <w:p>
      <w:pPr>
        <w:spacing w:after="0" w:line="67" w:lineRule="exact"/>
        <w:rPr>
          <w:sz w:val="20"/>
          <w:szCs w:val="20"/>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payment;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or exchange of debt securities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 stolen, lost or mutilated debt securities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principal of and premium and interest on any debt securities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paying agencies;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monies for payment in trust;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 excess money held by the trustee;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compensate and indemnify the trustee;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any successor trustee.</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In order to exercise our rights to be discharged, we must deposit with the trustee money or government obligations sufficient to pay all the principal of, any premium, if any, and interest on, the debt securities of the series on the dates payments are due.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Form, Exchange and Transfer</w:t>
      </w:r>
    </w:p>
    <w:p>
      <w:pPr>
        <w:spacing w:after="0" w:line="121"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or DTC, or another depositary named by us and identified in the applicable prospectus supplement with respect to that series. To the extent the debt securities of a series are issued in global form and as book-entry, a description of terms relating to any book-entry securities will be set forth in the applicable prospectus supplement.</w:t>
      </w:r>
    </w:p>
    <w:p>
      <w:pPr>
        <w:spacing w:after="0" w:line="187"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w:t>
      </w:r>
    </w:p>
    <w:p>
      <w:pPr>
        <w:spacing w:after="0" w:line="183"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we elect to redeem the debt securities of any series, we will not be required to:</w:t>
      </w:r>
    </w:p>
    <w:p>
      <w:pPr>
        <w:spacing w:after="0" w:line="131" w:lineRule="exact"/>
        <w:rPr>
          <w:sz w:val="20"/>
          <w:szCs w:val="20"/>
          <w:color w:val="auto"/>
        </w:rPr>
      </w:pPr>
    </w:p>
    <w:p>
      <w:pPr>
        <w:jc w:val="both"/>
        <w:ind w:left="1080" w:right="260" w:hanging="424"/>
        <w:spacing w:after="0" w:line="266"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81"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of or exchange any debt securities so selected for redemption, in whole or in part, except the unredeemed portion of any debt securities we are redeeming in part.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Concerning the Trustee</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87"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indenture and the debt securities will be governed by and construed in accordance with the internal laws of the State of New York, except to the extent that the Trust Indenture Act of 1939 is applicable.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may include in any applicable prospectus supplement and free writing prospectus, summarizes the material terms and provisions of the warrants that we may offer under this prospectus, which may consist of warrants to purchase common stock, preferred stock or debt securities and may be issued in one or more series. Warrants may be offered independently or in combination with common stock, preferred stock or debt securities offered by any prospectus supplement. While the terms we have summarized below will apply generally to any warrants that we may offer under this prospectus, we will describe the particular terms of any series of warrants in more detail in the applicable prospectus supplement. The following description of warrants will apply to the warrants offered by this prospectus unless we provide otherwise in the applicable prospectus supplement. The applicable prospectus supplement for a particular series of warrants may specify different or additional terms.</w:t>
      </w:r>
    </w:p>
    <w:p>
      <w:pPr>
        <w:spacing w:after="0" w:line="192"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We will file as exhibits to the registration statement of which this prospectus is a part, or will incorporate by reference from reports that we file with the SEC, the form of warrant and/or the warrant agreement and warrant certificate, as applicable, that contain the terms of the particular series of warrants we are offering, and any supplemental agreements, before the issuance of such warrants. The following summaries of material terms and provisions of the warrants are subject to, and qualified in their entirety by reference to, all the provisions of the form of warrant and/or the warrant agreement and warrant certificate, as applicable, and any supplemental agreements applicable to a particular series of warrants that we may offer under this prospectus. We urge you to read the applicable prospectus supplement related to the particular series of warrants that we may offer under this prospectus, as well as any related free writing prospectus, and the complete form of warrant and/or the warrant agreement and warrant certificate, as applicable, and any supplemental agreements, that contain the terms of the warrants.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warrants being offered, including:</w:t>
      </w:r>
    </w:p>
    <w:p>
      <w:pPr>
        <w:spacing w:after="0" w:line="131" w:lineRule="exact"/>
        <w:rPr>
          <w:sz w:val="20"/>
          <w:szCs w:val="20"/>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and aggregate number of warrants offered;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for which the warrants may be purchased;</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the warrants are issued and the number of warrants issued with each such security or each principal amount of such security;</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the principal amount of debt securities purchasable upon exercise of one warrant and the price at, and currency in which, this principal amount of debt securities may be purchased upon such exercise;</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stock or preferred stock, the number of shares of common stock or preferred stock, as the case may be, purchasable upon the exercise of one warrant and the price at which these shares may be purchased upon such exercise;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any merger, consolidation, sale or other disposition of our business on the warrant agreements and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rights to redeem or call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changes to or adjustments in the exercise price or number of securities issuable upon exercise of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exercise the warrants will commence and expire;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warrant agreements and warrants may be modified;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or special U.S. federal income tax considerations of holding or exercising the warrants;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securities issuable upon exercise of the warrants;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warrants.</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exercising their warrants, holders of warrants will not have any of the rights of holders of the securities purchasable upon such exercise, including:</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the right to receive payments of principal of, or premium, if any, or interest on, the debt securities purchasable upon exercise or to enforce covenants in the applicable indenture; or</w:t>
      </w:r>
    </w:p>
    <w:p>
      <w:pPr>
        <w:spacing w:after="0" w:line="67" w:lineRule="exact"/>
        <w:rPr>
          <w:rFonts w:ascii="Times New Roman" w:cs="Times New Roman" w:eastAsia="Times New Roman" w:hAnsi="Times New Roman"/>
          <w:sz w:val="18"/>
          <w:szCs w:val="18"/>
          <w:color w:val="auto"/>
        </w:rPr>
      </w:pPr>
    </w:p>
    <w:p>
      <w:pPr>
        <w:ind w:left="1080" w:right="78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stock or preferred stock, the right to receive dividends, if any, or payments upon our liquidation, dissolution or winding up or to exercise voting rights, if any.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Exercise of Warrants</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Each warrant will entitle the holder to purchase the securities that we specify in the applicable prospectus supplement at the exercise price that we describe in the applicable prospectus supplement. The warrants may be exercised as set forth in the prospectus supplement relating to the warrants offered. Unless we otherwise specify in the applicable prospectus supplement, warrants may be exercised at any time up to the close of business on the expiration date set forth in the prospectus supplement relating to the warrants offered thereby. After the close of business on the expiration date, unexercised warrants will become void.</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Upon receipt of payment and the warrant or warrant certificate, as applicable, properly completed and duly executed at the corporate trust office of the warrant agent, if any, or any other office, including ours, indicated in the prospectus supplement, we will, as soon as practicable, issue and deliver the securities purchasable upon such exercise. If less than all of the warrants (or the warrants represented by such warrant certificate) are exercised, a new warrant or a new warrant certificate, as applicable, will be issued for the remaining warrants.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Unless we otherwise specify in the applicable prospectus supplement, the warrants and any warrant agreements will be governed by and construed in accordance with the laws of the State of New York.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Enforceability of Rights by Holders of Warrants</w:t>
      </w:r>
    </w:p>
    <w:p>
      <w:pPr>
        <w:spacing w:after="0" w:line="12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Each warrant agent, if any,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DESCRIPTION OF RIGHTS</w:t>
      </w:r>
    </w:p>
    <w:p>
      <w:pPr>
        <w:spacing w:after="0" w:line="22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that we include in any applicable prospectus supplements summarizes the material terms and provisions of the rights that we may offer under this prospectus and the related rights agreements. While the terms we have summarized below will apply generally to any rights that we may offer under this prospectus, we will describe the particular terms of any rights in more detail in the applicable prospectus supplement. The terms of any rights offered under a prospectus supplement may differ from the terms described below.</w:t>
      </w:r>
    </w:p>
    <w:p>
      <w:pPr>
        <w:spacing w:after="0" w:line="183" w:lineRule="exact"/>
        <w:rPr>
          <w:sz w:val="20"/>
          <w:szCs w:val="20"/>
          <w:color w:val="auto"/>
        </w:rPr>
      </w:pPr>
    </w:p>
    <w:p>
      <w:pPr>
        <w:ind w:left="120" w:right="260" w:firstLine="440"/>
        <w:spacing w:after="0" w:line="256" w:lineRule="auto"/>
        <w:rPr>
          <w:sz w:val="20"/>
          <w:szCs w:val="20"/>
          <w:color w:val="auto"/>
        </w:rPr>
      </w:pPr>
      <w:r>
        <w:rPr>
          <w:rFonts w:ascii="Times New Roman" w:cs="Times New Roman" w:eastAsia="Times New Roman" w:hAnsi="Times New Roman"/>
          <w:sz w:val="18"/>
          <w:szCs w:val="18"/>
          <w:color w:val="auto"/>
        </w:rPr>
        <w:t>We will incorporate by reference from reports that we file with the SEC the form of any rights certificate or rights agreement that describes the terms of the rights we are offering, and any supplemental agreements, before the issuance of the related rights. The following summaries of material terms and provisions of the rights are subject to, and qualified in their entirety by reference to, all the provisions of any rights certificate or rights agreement and any supplemental agreements applicable to particular rights. We urge you to read the applicable prospectus supplements related to the particular rights that we may offer under this prospectus, as well as any related free writing prospectuses and the complete rights certificate or rights agreement and any supplemental agreements that contain the terms of the rights.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may issue rights to purchase our equity or debt securities described in this prospectus. We may offer rights separately or together with one or more securities offered hereby and may or may not be transferable by the shareholder receiving the rights in such offering, as described in the applicable prospectus supplement. In connection with any offering of rights, we may enter into a standby agreement with one or more underwriters or other purchasers pursuant to which the underwriter or other purchasers may be required to purchase any securities remaining unsubscribed for after such offering.</w:t>
      </w:r>
    </w:p>
    <w:p>
      <w:pPr>
        <w:spacing w:after="0" w:line="183"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We will describe in the applicable prospectus supplement the specific terms of any offering of rights for which this prospectus is being delivered, including the following:</w:t>
      </w:r>
    </w:p>
    <w:p>
      <w:pPr>
        <w:spacing w:after="0" w:line="67" w:lineRule="exact"/>
        <w:rPr>
          <w:sz w:val="20"/>
          <w:szCs w:val="20"/>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if any, for the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payable for our equity or debt securities upon the exercise of the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rights issued to each shareholder;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our equity or debt securities that may be purchased per each right;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rights are transferable;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rights, including the terms, procedures and limitations relating to the exchange and exercise of the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rights shall commence, and the date on which the rights shall expire;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rights may include an over-subscription privilege with respect to unsubscribed securities; and</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material terms of any standby underwriting or purchase arrangement entered into by us in connection with the offering of rights.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Rights Agent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rights agent, if any, for any rights we offer will be set forth in the applicable prospectus supplement.</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00"/>
          </w:cols>
          <w:pgMar w:left="320" w:top="455" w:right="4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that we include in any applicable prospectus supplement, summarizes the material terms and provisions of the units that we may offer under this prospectus. While the terms we have summarized below will apply generally to any units that we may offer under this prospectus, we will describe the particular terms of any series of units in more detail in the applicable prospectus supplement. The terms of any units offered under a prospectus supplement may differ from the terms described below.</w:t>
      </w:r>
    </w:p>
    <w:p>
      <w:pPr>
        <w:spacing w:after="0" w:line="180"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will incorporate by reference from reports that we file with the SEC, the form of unit agreement that describes the terms of the series of units we are offering, and any supplemental agreements, before the issuance of the related series of units. The following summaries of material terms and provisions of the units are subject to, and qualified in their entirety by reference to, all the provisions of the unit agreement and any supplemental agreements applicable to a particular series of units. We urge you to read the applicable prospectus supplement related to the particular series of units that we may offer under this prospectus, as well as any related free writing prospectuses and the complete unit agreement and any supplemental agreements that contain the terms of the units.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may issue units consisting of any combination of the other types of securities offered under this prospectus in one or more series. Each unit will be issued so that the holder of the unit is also the holder of each security included in the unit. Thus, the holder of a unit will have the rights and obligations of a holder of each security included in the unit. The unit agreement under which a unit is issued may provide that the securities included in the unit may not be held or transferred separately, at any time or at any time before a specified date or upon the occurrence of a specified event or occurrence.</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units being offered, including:</w:t>
      </w:r>
    </w:p>
    <w:p>
      <w:pPr>
        <w:spacing w:after="0" w:line="131" w:lineRule="exact"/>
        <w:rPr>
          <w:sz w:val="20"/>
          <w:szCs w:val="20"/>
          <w:color w:val="auto"/>
        </w:rPr>
      </w:pPr>
    </w:p>
    <w:p>
      <w:pPr>
        <w:ind w:left="1080" w:right="20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 including whether and under what circumstances those securities may be held or transferred separately;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of the governing unit agreement that differ from those described below;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material U.S. federal income tax considerations and material U.K. tax considerations relevant to the units;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the issuance, payment, settlement, transfer or exchange of the units or of the securities comprising the units.</w:t>
      </w:r>
    </w:p>
    <w:p>
      <w:pPr>
        <w:spacing w:after="0" w:line="225"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The provisions described in this section, as well as those set forth in any prospectus supplement or as described under the sections entitled “Description of Capital Stock,” “Description of Debt Securities,” “Description of Warrants” and “Description of Rights” will apply to each unit, as applicable, and to any shares of capital stock, debt security, warrant or right included in each unit, as applicable.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Unit Agent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name and address of the unit agent, if any, for any units we offer will be set forth in the applicable prospectus supplement.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Issuance in Series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issue units in such amounts and in such numerous distinct series as we determine.</w:t>
      </w:r>
    </w:p>
    <w:p>
      <w:pPr>
        <w:spacing w:after="0" w:line="15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20"/>
          </w:cols>
          <w:pgMar w:left="320" w:top="455" w:right="5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Enforceability of Rights by Holders of Units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spacing w:after="0" w:line="1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60"/>
          </w:cols>
          <w:pgMar w:left="320" w:top="455" w:right="5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LEGAL OWNERSHIP OF SECURITIES</w:t>
      </w:r>
    </w:p>
    <w:p>
      <w:pPr>
        <w:spacing w:after="0" w:line="22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may issue securities in registered form or in the form of one or more global securities. We describe global securities in greater detail below. We refer to those persons who have securities registered in their own names on the books that we or any applicable trustee, depositary or warrant agent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Book-Entry Holders</w:t>
      </w:r>
    </w:p>
    <w:p>
      <w:pPr>
        <w:spacing w:after="0" w:line="121"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book-entry system. These participating institutions, which are referred to as participants, in turn, hold beneficial interests in the securities on behalf of themselves or their customers.</w:t>
      </w:r>
    </w:p>
    <w:p>
      <w:pPr>
        <w:spacing w:after="0" w:line="18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Only the person in whose name a security is registered is recognized as the holder of that security. Securities issued in global form will be registered in the name of the depositary or its participants. Consequently, for securities issued in global form,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w:t>
      </w:r>
    </w:p>
    <w:p>
      <w:pPr>
        <w:spacing w:after="0" w:line="183"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As a result, investors in a book-entry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holders, of the securities.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Street Name Holders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may terminate a global security or issue securities in non-global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w:t>
      </w:r>
    </w:p>
    <w:p>
      <w:pPr>
        <w:spacing w:after="0" w:line="180"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For securities held in street name, we will recognize only the intermediary banks, brokers and other financial institutions in whose names the securities are registered as the holders of those securities, and we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holders, of those securities.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Holders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obligations, as well as the obligations of any applicable trustee and of any third parties employed by us or a trustee,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we may want to obtain the approval of the holders to amend an indenture, to relieve us of the consequences of a default or of our obligation to comply with a particular provision of the indenture or for other purposes. In such an event, we would seek approval only from the holders, and not the indirect holders, of the securities. Whether and how the holders contact the indirect holders is up to the holders.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Special Considerations for Indirect Holders</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If you hold securities through a bank, broker or other financial institution, either in book-entry form or in street name, you should check with your own institution to find out:</w:t>
      </w:r>
    </w:p>
    <w:p>
      <w:pPr>
        <w:spacing w:after="0" w:line="67" w:lineRule="exact"/>
        <w:rPr>
          <w:sz w:val="20"/>
          <w:szCs w:val="20"/>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third-party service providers;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handles securities payments and notices;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it imposes fees or charges;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would handle a request for the holders’ consent, if ever required;</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how you can instruct it to send you securities registered in your own name so you can be a holder, if that is permitted in the future;</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would exercise rights under the securities if there were a default or other event triggering the need for holders to act to protect their interests;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are in book-entry form, how the depositary’s rules and procedures will affect these matters.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121"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A global security is a security that represents one or any other number of individual securities held by a depositary. Generally, all securities represented by the same global securities will have the same terms.</w:t>
      </w:r>
    </w:p>
    <w:p>
      <w:pPr>
        <w:spacing w:after="0" w:line="162"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Each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DTC will be the depositary for all securities issued in book-entry form.</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 global security may not be transferred to or registered in the name of anyone other than the depositary, its nominee or a successor depositary, unless special termination situations arise. We describe those situations below under the section titled “</w:t>
      </w:r>
      <w:r>
        <w:rPr>
          <w:rFonts w:ascii="Times New Roman" w:cs="Times New Roman" w:eastAsia="Times New Roman" w:hAnsi="Times New Roman"/>
          <w:sz w:val="18"/>
          <w:szCs w:val="18"/>
          <w:i w:val="1"/>
          <w:iCs w:val="1"/>
          <w:color w:val="auto"/>
        </w:rPr>
        <w:t>—Special Situations When a Global Security Will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Be Terminated</w:t>
      </w:r>
      <w:r>
        <w:rPr>
          <w:rFonts w:ascii="Times New Roman" w:cs="Times New Roman" w:eastAsia="Times New Roman" w:hAnsi="Times New Roman"/>
          <w:sz w:val="18"/>
          <w:szCs w:val="18"/>
          <w:color w:val="auto"/>
        </w:rPr>
        <w:t>” in this prospectus. As a result of these arrangements, the depositary, or its nominee, will be the sole registered owner and holder of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holder of the security, but only an indirect holder of a beneficial interest in the global security.</w:t>
      </w:r>
    </w:p>
    <w:p>
      <w:pPr>
        <w:spacing w:after="0" w:line="18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If the prospectus supplement for a particular security indicates that the security will be issued in global form only,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00"/>
          </w:cols>
          <w:pgMar w:left="320" w:top="455" w:right="4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Special Considerations for Global Securities</w:t>
      </w:r>
    </w:p>
    <w:p>
      <w:pPr>
        <w:spacing w:after="0" w:line="121"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rights of an indirect holder relating to a global security will be governed by the account rules of the investor’s financial institution and of the depositary, as well as general laws relating to securities transfers. We do not recognize an indirect holder as a holder of securities and instead deal only with the depositary that holds the global security.</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securities are issued only in the form of a global security, an investor should be aware of the following:</w:t>
      </w:r>
    </w:p>
    <w:p>
      <w:pPr>
        <w:spacing w:after="0" w:line="131" w:lineRule="exact"/>
        <w:rPr>
          <w:sz w:val="20"/>
          <w:szCs w:val="20"/>
          <w:color w:val="auto"/>
        </w:rPr>
      </w:pPr>
    </w:p>
    <w:p>
      <w:pPr>
        <w:ind w:left="108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cannot cause the securities to be registered in his or her name, and cannot obtain non-global certificates for his or her interest in the securities, except in the special situations we describe below;</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will be an indirect holder and must look to his or her own bank or broker for payments on the securities and protection of his or her legal rights relating to the securities, as we describe above;</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may not be able to sell interests in the securities to some insurance companies and to other institutions that are required by law to own their securities in non-book-entry form;</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may not be able to pledge his or her interest in a global security in circumstances where certificates representing the securities must be delivered to the lender or other beneficiary of the pledge in order for the pledge to be effective;</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depositary’s policies, which may change from time to time, will govern payments, transfers, exchanges and other matters relating to an investor’s interest in a global security;</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any applicable trustee have no responsibility for any aspect of the depositary’s actions or for its records of ownership interests in a global security, nor do we or any applicable trustee supervise the depositary in any way;</w:t>
      </w:r>
    </w:p>
    <w:p>
      <w:pPr>
        <w:spacing w:after="0" w:line="67"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may, and we understand that DTC will, require that those who purchase and sell interests in a global security within its book-entry system use immediately available funds, and your broker or bank may require you to do so as well; and</w:t>
      </w:r>
    </w:p>
    <w:p>
      <w:pPr>
        <w:spacing w:after="0" w:line="67"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 that participate in the depositary’s book-entry system, and through which an investor holds its interest in a global security, may also have their own policies affecting payments, notices and other matters relating to the securities.</w:t>
      </w:r>
    </w:p>
    <w:p>
      <w:pPr>
        <w:spacing w:after="0" w:line="162"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There may be more than one financial intermediary in the chain of ownership for an investor. We do not monitor and are not responsible for the actions of any of those intermediaries.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Special Situations When a Global Security Will Be Terminated</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In a few special situations described below, the global security will terminate and interests in it will be exchanged for physical certificates representing those interests. After that exchange, the choice of whether to hold securities directly or in street name will be up to the investor. Investors must consult their own banks or brokers to find out how to have their interests in securities transferred to their own name, so that they will be direct holders. We have described the rights of holders and street name investors above.</w:t>
      </w:r>
    </w:p>
    <w:p>
      <w:pPr>
        <w:spacing w:after="0" w:line="180"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Unless we provide otherwise in the applicable prospectus supplement, the global security will terminate when the following special situations occur:</w:t>
      </w:r>
    </w:p>
    <w:p>
      <w:pPr>
        <w:spacing w:after="0" w:line="67" w:lineRule="exact"/>
        <w:rPr>
          <w:sz w:val="20"/>
          <w:szCs w:val="20"/>
          <w:color w:val="auto"/>
        </w:rPr>
      </w:pPr>
    </w:p>
    <w:p>
      <w:pPr>
        <w:ind w:left="1080" w:right="22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depositary notifies us that it is unwilling, unable or no longer qualified to continue as depositary for that global security and we do not appoint another institution to act as depositary within 90 days;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notify any applicable trustee that we wish to terminate that global security;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event of default has occurred with regard to securities represented by that global security and has not been cured or waived.</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00"/>
          </w:cols>
          <w:pgMar w:left="320" w:top="455" w:right="4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applicable prospectus supplement may also list additional situations for terminating a global security that would apply only to the particular series of securities covered by the applicable prospectus supplement. When a global security terminates, the depositary, and not we or any applicable trustee, is responsible for deciding the names of the institutions that will be the initial direct holders.</w:t>
      </w:r>
    </w:p>
    <w:p>
      <w:pPr>
        <w:spacing w:after="0" w:line="10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40"/>
          </w:cols>
          <w:pgMar w:left="320" w:top="455" w:right="6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We may sell the securities from time to time pursuant to underwritten public offerings, direct sales to the public, “at-the-market” offerings, negotiated transactions, block trades or a combination of these methods. We may sell the securities to or through one or more underwriters or dealers (acting as principal or agent), through agents, or directly to one or more purchasers. We may distribute the securities from time to time in one or more transactions:</w:t>
      </w:r>
    </w:p>
    <w:p>
      <w:pPr>
        <w:spacing w:after="0" w:line="85" w:lineRule="exact"/>
        <w:rPr>
          <w:sz w:val="20"/>
          <w:szCs w:val="20"/>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We will describe the terms of the offering of the securities and the specific plan of distribution in a prospectus supplement or supplements to this prospectus, any related free writing prospectus that we may authorize to be provided to you, an amendment to the registration statement of which this prospectus is a part or other filings we make with the SEC under the Exchange Act that are incorporated by reference. Such description may include, to the extent applicable:</w:t>
      </w:r>
    </w:p>
    <w:p>
      <w:pPr>
        <w:spacing w:after="0" w:line="85" w:lineRule="exact"/>
        <w:rPr>
          <w:sz w:val="20"/>
          <w:szCs w:val="20"/>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underwriters, dealers, agents or other purchasers;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 or other consideration therefor, and the proceeds, if any, we will receive from the sale;</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options to purchase additional shares or other options under which underwriters, dealers, agents or other purchasers may purchase additional securities from us;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agency fees or underwriting discounts and other items constituting agents’ or underwriters’ compensation;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public offering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or market on which the securities may be listed.</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Only underwriters named in the prospectus supplement will be underwriters of the securities offered by the prospectus supplement. Dealers and agents participating in the distribution of the securities may be deemed to be underwriters, and compensation received by them on resale of the securities may be deemed to be underwriting discounts. If such dealers or agents were deemed to be underwriters, they may be subject to statutory liabilities under the Securities Act.</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other than securities covered by any option to purchase additional shares or other option. If a dealer is used in the sale of securities, we, or an underwriter, will sell the securities to the dealer, as principal. The dealer may then resell the securities to the public at varying prices to be determined by the dealer at the time of resale. To the extent required, we will set forth in the prospectus supplement the name of the dealer and the terms of the transaction. Any public offering price and any discounts or concessions allowed or reallowed or paid to dealers may change from time to time. We may use underwriters, dealers or agents with whom we have a</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material relationship. We will describe in the prospectus supplement, naming the underwriter, dealer or agent, the nature of any such relationship.</w:t>
      </w:r>
    </w:p>
    <w:p>
      <w:pPr>
        <w:spacing w:after="0" w:line="225"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may sell securities directly or through agents we designate from time to time. We will name any agent involved in the offering and sale of securities and we will describe any commissions payable to the agent in the prospectus supplement. Unless the prospectus supplement states otherwise, the agent will act on a best-efforts basis for the period of its appointment.</w:t>
      </w:r>
    </w:p>
    <w:p>
      <w:pPr>
        <w:spacing w:after="0" w:line="176"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We may provide agents, dealers and underwriters with indemnification against civil liabilities, including liabilities under the Securities Act, or contribution with respect to payments that the agents or dealers or underwriters may make with respect to these liabilities. Agents, dealers and underwriters or their affiliates may engage in transactions with, or perform services for us in the ordinary course of business.</w:t>
      </w:r>
    </w:p>
    <w:p>
      <w:pPr>
        <w:spacing w:after="0" w:line="176"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All securities we may offer, other than common stock,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Any underwriter may be granted an option to purchase additional shares, and engage in stabilizing transactions, short-covering transactions and penalty bids in accordance with Regulation M under the Exchange Act. An underwriter’s option to purchase additional shares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option to purchase additional shares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w:t>
      </w:r>
    </w:p>
    <w:p>
      <w:pPr>
        <w:spacing w:after="0" w:line="192" w:lineRule="exact"/>
        <w:rPr>
          <w:sz w:val="20"/>
          <w:szCs w:val="20"/>
          <w:color w:val="auto"/>
        </w:rPr>
      </w:pPr>
    </w:p>
    <w:p>
      <w:pPr>
        <w:ind w:left="120" w:right="100" w:firstLine="440"/>
        <w:spacing w:after="0" w:line="273" w:lineRule="auto"/>
        <w:rPr>
          <w:sz w:val="20"/>
          <w:szCs w:val="20"/>
          <w:color w:val="auto"/>
        </w:rPr>
      </w:pPr>
      <w:r>
        <w:rPr>
          <w:rFonts w:ascii="Times New Roman" w:cs="Times New Roman" w:eastAsia="Times New Roman" w:hAnsi="Times New Roman"/>
          <w:sz w:val="17"/>
          <w:szCs w:val="17"/>
          <w:color w:val="auto"/>
        </w:rPr>
        <w:t>Any underwriters, dealers or agents that are qualified market makers on the Nasdaq Capital Market may engage in passive market making transactions in our common stock on the Nasdaq Capital Market in accordance with Regulation M under the Exchange Act, during the business day prior to the pricing of the offering, before the commencement of offers or sales of the common stock.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spacing w:after="0" w:line="1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20"/>
          </w:cols>
          <w:pgMar w:left="320" w:top="455"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Cooley LLP, Washington, D.C., will pass upon the validity of the securities offered by this prospectus and any supplement thereto. As of the date of this prospectus, partners of Cooley LLP and GC&amp;H Investments and GC&amp;H Investments, LLC, each an entity that is comprised of partners and associates of Cooley LLP, beneficially own an aggregate of 5,797 shares of our common stock. Additional legal matters may be passed upon for us or any underwriters, dealers or agents, by counsel that we name in the applicable prospectus supplement.</w:t>
      </w:r>
    </w:p>
    <w:p>
      <w:pPr>
        <w:spacing w:after="0" w:line="39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financial statements of IN8Bio, Inc. for the years ended December 31, 2025 and 2024 have been audited by CohnReznick LLP, independent registered public accounting firm, as set forth in their report thereon appearing in IN8bio, Inc’s Annual Report on Form 10-K for the year ended December 31, 2025, and incorporated by reference herein. Such financial statements are incorporated by reference herein in reliance upon such report, which includes an explanatory paragraph on IN8bio, Inc’s ability to continue as a going concern, given on the authority of such firm as experts in accounting and auditing.</w:t>
      </w:r>
    </w:p>
    <w:p>
      <w:pPr>
        <w:spacing w:after="0" w:line="39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This prospectus is part of the registration statement on Form S-3 we filed with the SEC under the Securities Act and does not contain all the information set forth or incorporated by reference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for a copy of such contract, agreement or other document. Because we are subject to the information and reporting requirements of the Exchange Act, we file annual, quarterly and current reports, proxy statements and other information with the SEC. Our SEC filings are available to the public over the Internet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Our Annual Report on Form 10-K, Quarterly Reports on Form 10-Q and Current Reports on Form 8-K, including any amendments to those reports, and other information that we file with or furnish to the SEC pursuant to Section 13(a) or 15(d) of the Exchange Act can also be accessed free of charge on the Investor Relations section of our website. These filings will be available as soon as reasonably practicable after we electronically file such material with, or furnish it to, the SEC. Our website address is </w:t>
      </w:r>
      <w:r>
        <w:rPr>
          <w:rFonts w:ascii="Times New Roman" w:cs="Times New Roman" w:eastAsia="Times New Roman" w:hAnsi="Times New Roman"/>
          <w:sz w:val="18"/>
          <w:szCs w:val="18"/>
          <w:i w:val="1"/>
          <w:iCs w:val="1"/>
          <w:color w:val="auto"/>
        </w:rPr>
        <w:t>www.in8bio.com</w:t>
      </w:r>
      <w:r>
        <w:rPr>
          <w:rFonts w:ascii="Times New Roman" w:cs="Times New Roman" w:eastAsia="Times New Roman" w:hAnsi="Times New Roman"/>
          <w:sz w:val="18"/>
          <w:szCs w:val="18"/>
          <w:color w:val="auto"/>
        </w:rPr>
        <w:t>. Information contained on or accessible through our website is not a part of this prospectus and is not incorporated by reference herein, and the inclusion of our website address in this prospectus is an inactive textual reference only.</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80"/>
          </w:cols>
          <w:pgMar w:left="320" w:top="455" w:right="4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incorporate by reference into this prospectus and the registration statement of which this prospectus is a part the information or documents listed below that we have filed with the SEC (Commission File No. 001-39692):</w:t>
      </w:r>
    </w:p>
    <w:p>
      <w:pPr>
        <w:spacing w:after="0" w:line="93" w:lineRule="exact"/>
        <w:rPr>
          <w:sz w:val="20"/>
          <w:szCs w:val="20"/>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63">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2025, filed with the SEC on March 12, 2026;</w:t>
      </w:r>
    </w:p>
    <w:p>
      <w:pPr>
        <w:spacing w:after="0" w:line="130" w:lineRule="exact"/>
        <w:rPr>
          <w:rFonts w:ascii="Times New Roman" w:cs="Times New Roman" w:eastAsia="Times New Roman" w:hAnsi="Times New Roman"/>
          <w:sz w:val="18"/>
          <w:szCs w:val="18"/>
          <w:color w:val="auto"/>
        </w:rPr>
      </w:pPr>
    </w:p>
    <w:p>
      <w:pPr>
        <w:ind w:left="1080" w:right="88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definitive Proxy Statement on </w:t>
      </w:r>
      <w:hyperlink r:id="rId64">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auto"/>
        </w:rPr>
        <w:t xml:space="preserve">, filed with the SEC on March 26, 2026 (excluding those portions that are not incorporated by reference into our Annual Report on </w:t>
      </w:r>
      <w:hyperlink r:id="rId63">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2025);</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65">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March 31, 2026, filed with the SEC on May 7, 2026;</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66">
        <w:r>
          <w:rPr>
            <w:rFonts w:ascii="Times New Roman" w:cs="Times New Roman" w:eastAsia="Times New Roman" w:hAnsi="Times New Roman"/>
            <w:sz w:val="18"/>
            <w:szCs w:val="18"/>
            <w:u w:val="single" w:color="auto"/>
            <w:color w:val="0000EE"/>
          </w:rPr>
          <w:t>February 9, 2026</w:t>
        </w:r>
      </w:hyperlink>
      <w:r>
        <w:rPr>
          <w:rFonts w:ascii="Times New Roman" w:cs="Times New Roman" w:eastAsia="Times New Roman" w:hAnsi="Times New Roman"/>
          <w:sz w:val="18"/>
          <w:szCs w:val="18"/>
          <w:color w:val="auto"/>
        </w:rPr>
        <w:t xml:space="preserve">, </w:t>
      </w:r>
      <w:hyperlink r:id="rId67">
        <w:r>
          <w:rPr>
            <w:rFonts w:ascii="Times New Roman" w:cs="Times New Roman" w:eastAsia="Times New Roman" w:hAnsi="Times New Roman"/>
            <w:sz w:val="18"/>
            <w:szCs w:val="18"/>
            <w:u w:val="single" w:color="auto"/>
            <w:color w:val="0000EE"/>
          </w:rPr>
          <w:t>February 27,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68">
        <w:r>
          <w:rPr>
            <w:rFonts w:ascii="Times New Roman" w:cs="Times New Roman" w:eastAsia="Times New Roman" w:hAnsi="Times New Roman"/>
            <w:sz w:val="18"/>
            <w:szCs w:val="18"/>
            <w:u w:val="single" w:color="auto"/>
            <w:color w:val="0000EE"/>
          </w:rPr>
          <w:t>May 7, 2026</w:t>
        </w:r>
      </w:hyperlink>
      <w:r>
        <w:rPr>
          <w:rFonts w:ascii="Times New Roman" w:cs="Times New Roman" w:eastAsia="Times New Roman" w:hAnsi="Times New Roman"/>
          <w:sz w:val="18"/>
          <w:szCs w:val="18"/>
          <w:color w:val="auto"/>
        </w:rPr>
        <w:t>; and</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as described in </w:t>
      </w:r>
      <w:hyperlink r:id="rId69">
        <w:r>
          <w:rPr>
            <w:rFonts w:ascii="Times New Roman" w:cs="Times New Roman" w:eastAsia="Times New Roman" w:hAnsi="Times New Roman"/>
            <w:sz w:val="18"/>
            <w:szCs w:val="18"/>
            <w:u w:val="single" w:color="auto"/>
            <w:color w:val="0000EE"/>
          </w:rPr>
          <w:t>Exhibit 4.2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Annual Report on Form 10-K filed with the SEC on March 12, 2026, including any amendments or reports filed for the purpose of updating this description.</w:t>
      </w:r>
    </w:p>
    <w:p>
      <w:pPr>
        <w:spacing w:after="0" w:line="162" w:lineRule="exact"/>
        <w:rPr>
          <w:rFonts w:ascii="Times New Roman" w:cs="Times New Roman" w:eastAsia="Times New Roman" w:hAnsi="Times New Roman"/>
          <w:sz w:val="18"/>
          <w:szCs w:val="18"/>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Notwithstanding the statements in the preceding paragraphs, no document, report or exhibit (or portion of any of the foregoing) or any other information that we have “furnished” to the SEC pursuant to the Exchange Act shall be incorporated by reference into this prospectus.</w:t>
      </w:r>
    </w:p>
    <w:p>
      <w:pPr>
        <w:spacing w:after="0" w:line="162" w:lineRule="exact"/>
        <w:rPr>
          <w:rFonts w:ascii="Times New Roman" w:cs="Times New Roman" w:eastAsia="Times New Roman" w:hAnsi="Times New Roman"/>
          <w:sz w:val="18"/>
          <w:szCs w:val="18"/>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also incorporate by reference into this prospectus all documents (other than current reports furnished under Item 2.02 or Item 7.01 of Form 8-K and exhibits filed on such form that are related to such items) that are filed by us with the SEC pursuant to Sections 13(a), 13(c), 14 or 15(d) of the Exchange Act, including those made after the date of the initial filing of the registration statement of which this prospectus is a part and prior to effectiveness of such registration statement, until we file a post-effective amendment that indicates the termination of the offering of the securities made by this prospectus and will become a part of this prospectus from the date that such documents are filed with the SEC. Information in such future filings updates and supplements the information provided in this prospectus.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w:t>
      </w:r>
    </w:p>
    <w:p>
      <w:pPr>
        <w:spacing w:after="0" w:line="192" w:lineRule="exact"/>
        <w:rPr>
          <w:rFonts w:ascii="Times New Roman" w:cs="Times New Roman" w:eastAsia="Times New Roman" w:hAnsi="Times New Roman"/>
          <w:sz w:val="18"/>
          <w:szCs w:val="18"/>
          <w:color w:val="auto"/>
        </w:rPr>
      </w:pPr>
    </w:p>
    <w:p>
      <w:pPr>
        <w:ind w:left="120" w:right="60" w:firstLine="440"/>
        <w:spacing w:after="0" w:line="264" w:lineRule="auto"/>
        <w:rPr>
          <w:sz w:val="20"/>
          <w:szCs w:val="20"/>
          <w:color w:val="auto"/>
        </w:rPr>
      </w:pPr>
      <w:r>
        <w:rPr>
          <w:rFonts w:ascii="Times New Roman" w:cs="Times New Roman" w:eastAsia="Times New Roman" w:hAnsi="Times New Roman"/>
          <w:sz w:val="18"/>
          <w:szCs w:val="18"/>
          <w:color w:val="auto"/>
        </w:rPr>
        <w:t>We will provide to each person, including any beneficial owner, to whom a prospectus is delivered, without charge upon written or oral request, a copy of any or all of the documents that are incorporated by reference into this prospectus but not delivered with the prospectus, including exhibits that are specifically incorporated by reference into such documents. You should direct any requests for documents to IN8bio, Inc., Attn: Patrick McCall, Corporate Secretary, 350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Avenue, Suite 5330, New York, New York 10118; telephone: (646) 600-6438.</w:t>
      </w:r>
    </w:p>
    <w:p>
      <w:pPr>
        <w:spacing w:after="0" w:line="1" w:lineRule="exact"/>
        <w:rPr>
          <w:rFonts w:ascii="Times New Roman" w:cs="Times New Roman" w:eastAsia="Times New Roman" w:hAnsi="Times New Roman"/>
          <w:sz w:val="18"/>
          <w:szCs w:val="18"/>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80"/>
          </w:cols>
          <w:pgMar w:left="320" w:top="455" w:right="4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14. Other Expenses of Issuance and Distribution</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an estimate of the fees and expenses, other than the underwriting discounts and commissions, payable by us in connection with the issuance and distribution of the securities being registered. All the amounts shown are estimates, except for the SEC registration fee and the FINRA filing fee.</w:t>
      </w:r>
    </w:p>
    <w:p>
      <w:pPr>
        <w:sectPr>
          <w:pgSz w:w="11900" w:h="16838" w:orient="portrait"/>
          <w:cols w:equalWidth="0" w:num="1">
            <w:col w:w="11120"/>
          </w:cols>
          <w:pgMar w:left="320" w:top="455" w:right="459" w:bottom="1440" w:gutter="0" w:footer="0" w:header="0"/>
        </w:sectPr>
      </w:pPr>
    </w:p>
    <w:p>
      <w:pPr>
        <w:spacing w:after="0" w:line="351"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-119380</wp:posOffset>
            </wp:positionV>
            <wp:extent cx="4749165"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FINRA filing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Times New Roman" w:cs="Times New Roman" w:eastAsia="Times New Roman" w:hAnsi="Times New Roman"/>
          <w:sz w:val="18"/>
          <w:szCs w:val="18"/>
          <w:color w:val="auto"/>
        </w:rPr>
        <w:t>Accounting fees and expenses</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Legal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3">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Times New Roman" w:cs="Times New Roman" w:eastAsia="Times New Roman" w:hAnsi="Times New Roman"/>
          <w:sz w:val="18"/>
          <w:szCs w:val="18"/>
          <w:color w:val="auto"/>
        </w:rPr>
        <w:t>Trustee and transfer agent fees and expenses</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7"/>
          <w:szCs w:val="17"/>
          <w:color w:val="auto"/>
        </w:rPr>
        <w:t>Printing and miscellaneous fees and expenses</w:t>
      </w:r>
    </w:p>
    <w:p>
      <w:pPr>
        <w:spacing w:after="0" w:line="2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-119380</wp:posOffset>
            </wp:positionV>
            <wp:extent cx="4749165"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4">
                      <a:extLst>
                        <a:ext uri="{28A0092B-C50C-407E-A947-70E740481C1C}"/>
                      </a:extLst>
                    </a:blip>
                    <a:srcRect/>
                    <a:stretch>
                      <a:fillRect/>
                    </a:stretch>
                  </pic:blipFill>
                  <pic:spPr bwMode="auto">
                    <a:xfrm>
                      <a:off x="0" y="0"/>
                      <a:ext cx="4749165" cy="13716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137160</wp:posOffset>
            </wp:positionV>
            <wp:extent cx="7715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ind w:left="65"/>
        <w:spacing w:after="0"/>
        <w:rPr>
          <w:sz w:val="20"/>
          <w:szCs w:val="20"/>
          <w:color w:val="auto"/>
        </w:rPr>
      </w:pPr>
      <w:r>
        <w:rPr>
          <w:rFonts w:ascii="Times New Roman" w:cs="Times New Roman" w:eastAsia="Times New Roman" w:hAnsi="Times New Roman"/>
          <w:sz w:val="14"/>
          <w:szCs w:val="14"/>
          <w:b w:val="1"/>
          <w:bCs w:val="1"/>
          <w:color w:val="auto"/>
        </w:rPr>
        <w:t>Amount</w:t>
      </w:r>
    </w:p>
    <w:p>
      <w:pPr>
        <w:spacing w:after="0" w:line="14" w:lineRule="exact"/>
        <w:rPr>
          <w:sz w:val="20"/>
          <w:szCs w:val="20"/>
          <w:color w:val="auto"/>
        </w:rPr>
      </w:pPr>
    </w:p>
    <w:p>
      <w:pPr>
        <w:ind w:left="225" w:hanging="225"/>
        <w:spacing w:after="0"/>
        <w:tabs>
          <w:tab w:leader="none" w:pos="225"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6,762</w:t>
      </w:r>
    </w:p>
    <w:p>
      <w:pPr>
        <w:spacing w:after="0" w:line="18" w:lineRule="exact"/>
        <w:rPr>
          <w:rFonts w:ascii="Times New Roman" w:cs="Times New Roman" w:eastAsia="Times New Roman" w:hAnsi="Times New Roman"/>
          <w:sz w:val="17"/>
          <w:szCs w:val="17"/>
          <w:color w:val="auto"/>
        </w:rPr>
      </w:pPr>
    </w:p>
    <w:p>
      <w:pPr>
        <w:ind w:left="125" w:hanging="125"/>
        <w:spacing w:after="0"/>
        <w:tabs>
          <w:tab w:leader="none" w:pos="12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30,500</w:t>
      </w:r>
    </w:p>
    <w:p>
      <w:pPr>
        <w:spacing w:after="0" w:line="9" w:lineRule="exact"/>
        <w:rPr>
          <w:rFonts w:ascii="Times New Roman" w:cs="Times New Roman" w:eastAsia="Times New Roman" w:hAnsi="Times New Roman"/>
          <w:sz w:val="18"/>
          <w:szCs w:val="18"/>
          <w:color w:val="auto"/>
        </w:rPr>
      </w:pPr>
    </w:p>
    <w:p>
      <w:pPr>
        <w:ind w:left="40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p>
    <w:p>
      <w:pPr>
        <w:spacing w:after="0" w:line="9" w:lineRule="exact"/>
        <w:rPr>
          <w:rFonts w:ascii="Times New Roman" w:cs="Times New Roman" w:eastAsia="Times New Roman" w:hAnsi="Times New Roman"/>
          <w:sz w:val="18"/>
          <w:szCs w:val="18"/>
          <w:color w:val="auto"/>
        </w:rPr>
      </w:pPr>
    </w:p>
    <w:p>
      <w:pPr>
        <w:ind w:left="40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p>
    <w:p>
      <w:pPr>
        <w:spacing w:after="0" w:line="9" w:lineRule="exact"/>
        <w:rPr>
          <w:rFonts w:ascii="Times New Roman" w:cs="Times New Roman" w:eastAsia="Times New Roman" w:hAnsi="Times New Roman"/>
          <w:sz w:val="18"/>
          <w:szCs w:val="18"/>
          <w:color w:val="auto"/>
        </w:rPr>
      </w:pPr>
    </w:p>
    <w:p>
      <w:pPr>
        <w:ind w:left="40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p>
    <w:p>
      <w:pPr>
        <w:spacing w:after="0" w:line="9" w:lineRule="exact"/>
        <w:rPr>
          <w:rFonts w:ascii="Times New Roman" w:cs="Times New Roman" w:eastAsia="Times New Roman" w:hAnsi="Times New Roman"/>
          <w:sz w:val="18"/>
          <w:szCs w:val="18"/>
          <w:color w:val="auto"/>
        </w:rPr>
      </w:pPr>
    </w:p>
    <w:p>
      <w:pPr>
        <w:ind w:left="40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p>
    <w:p>
      <w:pPr>
        <w:spacing w:after="0" w:line="17" w:lineRule="exact"/>
        <w:rPr>
          <w:rFonts w:ascii="Times New Roman" w:cs="Times New Roman" w:eastAsia="Times New Roman" w:hAnsi="Times New Roman"/>
          <w:sz w:val="18"/>
          <w:szCs w:val="18"/>
          <w:color w:val="auto"/>
        </w:rPr>
      </w:pPr>
    </w:p>
    <w:p>
      <w:pPr>
        <w:ind w:left="40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-136525</wp:posOffset>
            </wp:positionV>
            <wp:extent cx="3943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39433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wp:posOffset>
            </wp:positionV>
            <wp:extent cx="3943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39433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34290</wp:posOffset>
            </wp:positionV>
            <wp:extent cx="3943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8">
                      <a:extLst>
                        <a:ext uri="{28A0092B-C50C-407E-A947-70E740481C1C}"/>
                      </a:extLst>
                    </a:blip>
                    <a:srcRect/>
                    <a:stretch>
                      <a:fillRect/>
                    </a:stretch>
                  </pic:blipFill>
                  <pic:spPr bwMode="auto">
                    <a:xfrm>
                      <a:off x="0" y="0"/>
                      <a:ext cx="39433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55" w:space="720"/>
            <w:col w:w="2445"/>
          </w:cols>
          <w:pgMar w:left="320" w:top="455" w:right="459" w:bottom="1440" w:gutter="0" w:footer="0" w:header="0"/>
          <w:type w:val="continuous"/>
        </w:sectPr>
      </w:pPr>
    </w:p>
    <w:p>
      <w:pPr>
        <w:spacing w:after="0" w:line="52" w:lineRule="exact"/>
        <w:rPr>
          <w:sz w:val="20"/>
          <w:szCs w:val="20"/>
          <w:color w:val="auto"/>
        </w:rPr>
      </w:pPr>
    </w:p>
    <w:p>
      <w:pPr>
        <w:ind w:left="540" w:right="620" w:hanging="424"/>
        <w:spacing w:after="0" w:line="266" w:lineRule="auto"/>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securities and number of offerings are indeterminable and the expenses cannot be estimated at this time. An estimate of the aggregate expenses in connection with the sale and distribution of securities being offered will be included in the applicable prospectus supplement.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15. Indemnification of Directors and Officers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we will limit the liability of our directors, and may indemnify our directors and officers, to the maximum extent permitted by the Delaware General Corporation Law, or DGCL. The DGCL provides that directors of a corporation will not be personally liable for monetary damages for breach of their fiduciary duties as directors, except for liability for any:</w:t>
      </w:r>
    </w:p>
    <w:p>
      <w:pPr>
        <w:spacing w:after="0" w:line="85" w:lineRule="exact"/>
        <w:rPr>
          <w:sz w:val="20"/>
          <w:szCs w:val="20"/>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duty of loyalty to us or our stockholders;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related to unlawful stock repurchases, redemptions or other distributions or payment of dividends;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w:t>
      </w:r>
    </w:p>
    <w:p>
      <w:pPr>
        <w:spacing w:after="0" w:line="225"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These limitations of liability do not apply to liabilities arising under federal securities laws and do not affect the availability of equitable remedies such as injunctive relief or rescission.</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permitted by Section 145 of the DGCL, our amended and restated bylaws provide that:</w:t>
      </w:r>
    </w:p>
    <w:p>
      <w:pPr>
        <w:spacing w:after="0" w:line="131" w:lineRule="exact"/>
        <w:rPr>
          <w:sz w:val="20"/>
          <w:szCs w:val="20"/>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indemnify our directors, officers and employees to the fullest extent permitted by the DGCL, subject to limited exceptions;</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advance expenses to our directors, officers and employees in connection with a legal proceeding to the fullest extent permitted by the DGCL, subject to limited exceptions;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provided in our bylaws are not exclusive.</w:t>
      </w:r>
    </w:p>
    <w:p>
      <w:pPr>
        <w:spacing w:after="0" w:line="225"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our amended and restated bylaws provide for the indemnification provisions described above and elsewhere herein. We have entered or will enter into, and intend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120"/>
          </w:cols>
          <w:pgMar w:left="320" w:top="455" w:right="45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55" w:lineRule="auto"/>
        <w:rPr>
          <w:sz w:val="20"/>
          <w:szCs w:val="20"/>
          <w:color w:val="auto"/>
        </w:rPr>
      </w:pPr>
      <w:r>
        <w:rPr>
          <w:rFonts w:ascii="Times New Roman" w:cs="Times New Roman" w:eastAsia="Times New Roman" w:hAnsi="Times New Roman"/>
          <w:sz w:val="18"/>
          <w:szCs w:val="18"/>
          <w:color w:val="auto"/>
        </w:rPr>
        <w:t>to continue to enter into, separate indemnification agreements with our directors and officers that may be broader than the specific indemnification provisions contained in the DGCL. These indemnification agreements generally require us, among other things, to indemnify our officers and directors against liabilities that may arise by reason of their status or service as directors or officers, other than liabilities arising from willful misconduct. These indemnification agreements also generally require us to advance any expenses incurred by the directors or officers as a result of any proceeding against them as to which they could be indemnified. These indemnification provisions and the indemnification agreements may be sufficiently broad to permit indemnification of our officers and directors for liabilities, including reimbursement of expenses incurred, arising under the Securities Act of 1933, as amended, or the Securities Act.</w:t>
      </w:r>
    </w:p>
    <w:p>
      <w:pPr>
        <w:spacing w:after="0" w:line="189" w:lineRule="exact"/>
        <w:rPr>
          <w:sz w:val="20"/>
          <w:szCs w:val="20"/>
          <w:color w:val="auto"/>
        </w:rPr>
      </w:pPr>
    </w:p>
    <w:p>
      <w:pPr>
        <w:ind w:left="120" w:right="600" w:firstLine="440"/>
        <w:spacing w:after="0" w:line="266" w:lineRule="auto"/>
        <w:rPr>
          <w:sz w:val="20"/>
          <w:szCs w:val="20"/>
          <w:color w:val="auto"/>
        </w:rPr>
      </w:pPr>
      <w:r>
        <w:rPr>
          <w:rFonts w:ascii="Times New Roman" w:cs="Times New Roman" w:eastAsia="Times New Roman" w:hAnsi="Times New Roman"/>
          <w:sz w:val="18"/>
          <w:szCs w:val="18"/>
          <w:color w:val="auto"/>
        </w:rPr>
        <w:t>We have purchased and currently intend to maintain insurance on behalf of each and every person who is or was a director or officer of the Company against any loss arising from any claim asserted against him or her and incurred by him or her in any such capacity, subject to certain exclusions.</w:t>
      </w:r>
    </w:p>
    <w:p>
      <w:pPr>
        <w:spacing w:after="0" w:line="176"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Any underwriting agreement or sales agreement that we may enter into will provide for indemnification by any underwriters or sales agents of the company, our directors, our officers who sign the registration statement and our controlling persons, if any, for some liabilities, including liabilities arising under the Securities Act.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16. Exhibits</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360" w:type="dxa"/>
            <w:vAlign w:val="bottom"/>
          </w:tcPr>
          <w:p>
            <w:pPr>
              <w:spacing w:after="0"/>
              <w:rPr>
                <w:sz w:val="13"/>
                <w:szCs w:val="13"/>
                <w:color w:val="auto"/>
              </w:rPr>
            </w:pPr>
          </w:p>
        </w:tc>
        <w:tc>
          <w:tcPr>
            <w:tcW w:w="8660" w:type="dxa"/>
            <w:vAlign w:val="bottom"/>
            <w:gridSpan w:val="7"/>
            <w:vMerge w:val="restart"/>
          </w:tcPr>
          <w:p>
            <w:pPr>
              <w:ind w:left="32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7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8660" w:type="dxa"/>
            <w:vAlign w:val="bottom"/>
            <w:tcBorders>
              <w:bottom w:val="single" w:sz="8" w:color="auto"/>
            </w:tcBorders>
            <w:gridSpan w:val="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1.1*</w:t>
            </w:r>
          </w:p>
        </w:tc>
        <w:tc>
          <w:tcPr>
            <w:tcW w:w="100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Form of Underwriting Agreement.</w:t>
            </w:r>
          </w:p>
        </w:tc>
        <w:tc>
          <w:tcPr>
            <w:tcW w:w="0" w:type="dxa"/>
            <w:vAlign w:val="bottom"/>
          </w:tcPr>
          <w:p>
            <w:pPr>
              <w:spacing w:after="0"/>
              <w:rPr>
                <w:sz w:val="1"/>
                <w:szCs w:val="1"/>
                <w:color w:val="auto"/>
              </w:rPr>
            </w:pPr>
          </w:p>
        </w:tc>
      </w:tr>
      <w:tr>
        <w:trPr>
          <w:trHeight w:val="283"/>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4.1</w:t>
            </w:r>
          </w:p>
        </w:tc>
        <w:tc>
          <w:tcPr>
            <w:tcW w:w="10020" w:type="dxa"/>
            <w:vAlign w:val="bottom"/>
            <w:gridSpan w:val="8"/>
          </w:tcPr>
          <w:p>
            <w:pPr>
              <w:spacing w:after="0"/>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Amended and Restated Certificate of Incorporation of the Registrant (incorporated herein by reference to Exhibit 3.1 to the Company’s</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20" w:type="dxa"/>
            <w:vAlign w:val="bottom"/>
            <w:tcBorders>
              <w:top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Current Report on Form 8-K (File No. 001-39692), filed with the SEC on August 3, 2021).</w:t>
              </w:r>
            </w:hyperlink>
          </w:p>
        </w:tc>
        <w:tc>
          <w:tcPr>
            <w:tcW w:w="3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gridSpan w:val="2"/>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42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4.2</w:t>
            </w:r>
          </w:p>
        </w:tc>
        <w:tc>
          <w:tcPr>
            <w:tcW w:w="996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r:id="rId81">
              <w:r>
                <w:rPr>
                  <w:rFonts w:ascii="Times New Roman" w:cs="Times New Roman" w:eastAsia="Times New Roman" w:hAnsi="Times New Roman"/>
                  <w:sz w:val="18"/>
                  <w:szCs w:val="18"/>
                  <w:color w:val="0000EE"/>
                  <w:w w:val="99"/>
                </w:rPr>
                <w:t>Certificate of Amendment of the Amended and Restated Certificate of Incorporation of the Registrant (incorporated herein by reference to</w:t>
              </w:r>
            </w:hyperlink>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5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81">
              <w:r>
                <w:rPr>
                  <w:rFonts w:ascii="Times New Roman" w:cs="Times New Roman" w:eastAsia="Times New Roman" w:hAnsi="Times New Roman"/>
                  <w:sz w:val="18"/>
                  <w:szCs w:val="18"/>
                  <w:color w:val="0000EE"/>
                  <w:w w:val="99"/>
                </w:rPr>
                <w:t>Exhibit 3.1 to the Company’s Current Report on Form 8-K (File No. 001-39692), filed with the SEC on June 4, 2025).</w:t>
              </w:r>
            </w:hyperlink>
          </w:p>
        </w:tc>
        <w:tc>
          <w:tcPr>
            <w:tcW w:w="15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4.3</w:t>
            </w:r>
          </w:p>
        </w:tc>
        <w:tc>
          <w:tcPr>
            <w:tcW w:w="1000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Second Amended and Restated Bylaws of the Company (incorporated herein by reference to Exhibit 3.1 to the Company’s Current Report</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82">
              <w:r>
                <w:rPr>
                  <w:rFonts w:ascii="Times New Roman" w:cs="Times New Roman" w:eastAsia="Times New Roman" w:hAnsi="Times New Roman"/>
                  <w:sz w:val="18"/>
                  <w:szCs w:val="18"/>
                  <w:color w:val="0000EE"/>
                  <w:w w:val="99"/>
                </w:rPr>
                <w:t>on Form 8-K (File No. 001-39692), filed with the SEC on December 7, 2023).</w:t>
              </w:r>
            </w:hyperlink>
          </w:p>
        </w:tc>
        <w:tc>
          <w:tcPr>
            <w:tcW w:w="43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4.4*</w:t>
            </w:r>
          </w:p>
        </w:tc>
        <w:tc>
          <w:tcPr>
            <w:tcW w:w="100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Specimen Preferred Stock Certificate and Form of Certificate of Designation of Preferred Stock.</w:t>
            </w:r>
          </w:p>
        </w:tc>
        <w:tc>
          <w:tcPr>
            <w:tcW w:w="0" w:type="dxa"/>
            <w:vAlign w:val="bottom"/>
          </w:tcPr>
          <w:p>
            <w:pPr>
              <w:spacing w:after="0"/>
              <w:rPr>
                <w:sz w:val="1"/>
                <w:szCs w:val="1"/>
                <w:color w:val="auto"/>
              </w:rPr>
            </w:pPr>
          </w:p>
        </w:tc>
      </w:tr>
      <w:tr>
        <w:trPr>
          <w:trHeight w:val="283"/>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4.5#</w:t>
            </w:r>
          </w:p>
        </w:tc>
        <w:tc>
          <w:tcPr>
            <w:tcW w:w="1360" w:type="dxa"/>
            <w:vAlign w:val="bottom"/>
            <w:tcBorders>
              <w:bottom w:val="single" w:sz="8" w:color="0000EE"/>
            </w:tcBorders>
          </w:tcPr>
          <w:p>
            <w:pPr>
              <w:spacing w:after="0"/>
              <w:rPr>
                <w:rFonts w:ascii="Times New Roman" w:cs="Times New Roman" w:eastAsia="Times New Roman" w:hAnsi="Times New Roman"/>
                <w:sz w:val="18"/>
                <w:szCs w:val="18"/>
                <w:color w:val="0000EE"/>
                <w:w w:val="98"/>
              </w:rPr>
            </w:pPr>
            <w:hyperlink r:id="rId83">
              <w:r>
                <w:rPr>
                  <w:rFonts w:ascii="Times New Roman" w:cs="Times New Roman" w:eastAsia="Times New Roman" w:hAnsi="Times New Roman"/>
                  <w:sz w:val="18"/>
                  <w:szCs w:val="18"/>
                  <w:color w:val="0000EE"/>
                  <w:w w:val="98"/>
                </w:rPr>
                <w:t>Form of Indenture.</w:t>
              </w:r>
            </w:hyperlink>
          </w:p>
        </w:tc>
        <w:tc>
          <w:tcPr>
            <w:tcW w:w="86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4.6*</w:t>
            </w:r>
          </w:p>
        </w:tc>
        <w:tc>
          <w:tcPr>
            <w:tcW w:w="100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Form of Debt Securities.</w:t>
            </w:r>
          </w:p>
        </w:tc>
        <w:tc>
          <w:tcPr>
            <w:tcW w:w="0" w:type="dxa"/>
            <w:vAlign w:val="bottom"/>
          </w:tcPr>
          <w:p>
            <w:pPr>
              <w:spacing w:after="0"/>
              <w:rPr>
                <w:sz w:val="1"/>
                <w:szCs w:val="1"/>
                <w:color w:val="auto"/>
              </w:rPr>
            </w:pPr>
          </w:p>
        </w:tc>
      </w:tr>
      <w:tr>
        <w:trPr>
          <w:trHeight w:val="324"/>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4.7*</w:t>
            </w:r>
          </w:p>
        </w:tc>
        <w:tc>
          <w:tcPr>
            <w:tcW w:w="100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Form of Common Stock Warrant Agreement and Warrant Certificate</w:t>
            </w:r>
          </w:p>
        </w:tc>
        <w:tc>
          <w:tcPr>
            <w:tcW w:w="0" w:type="dxa"/>
            <w:vAlign w:val="bottom"/>
          </w:tcPr>
          <w:p>
            <w:pPr>
              <w:spacing w:after="0"/>
              <w:rPr>
                <w:sz w:val="1"/>
                <w:szCs w:val="1"/>
                <w:color w:val="auto"/>
              </w:rPr>
            </w:pPr>
          </w:p>
        </w:tc>
      </w:tr>
      <w:tr>
        <w:trPr>
          <w:trHeight w:val="324"/>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4.8*</w:t>
            </w:r>
          </w:p>
        </w:tc>
        <w:tc>
          <w:tcPr>
            <w:tcW w:w="100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Form of Preferred Stock Warrant Agreement and Warrant Certificate</w:t>
            </w:r>
          </w:p>
        </w:tc>
        <w:tc>
          <w:tcPr>
            <w:tcW w:w="0" w:type="dxa"/>
            <w:vAlign w:val="bottom"/>
          </w:tcPr>
          <w:p>
            <w:pPr>
              <w:spacing w:after="0"/>
              <w:rPr>
                <w:sz w:val="1"/>
                <w:szCs w:val="1"/>
                <w:color w:val="auto"/>
              </w:rPr>
            </w:pPr>
          </w:p>
        </w:tc>
      </w:tr>
      <w:tr>
        <w:trPr>
          <w:trHeight w:val="324"/>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4.9*</w:t>
            </w:r>
          </w:p>
        </w:tc>
        <w:tc>
          <w:tcPr>
            <w:tcW w:w="100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Form of Debt Securities Warrant Agreement and Warrant Certificate</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200" w:hanging="84"/>
        <w:spacing w:after="0"/>
        <w:tabs>
          <w:tab w:leader="none" w:pos="20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4.10*</w:t>
      </w:r>
      <w:r>
        <w:rPr>
          <w:rFonts w:ascii="Times New Roman" w:cs="Times New Roman" w:eastAsia="Times New Roman" w:hAnsi="Times New Roman"/>
          <w:sz w:val="17"/>
          <w:szCs w:val="17"/>
          <w:color w:val="auto"/>
        </w:rPr>
        <w:t>Form of Rights Agreement</w:t>
      </w:r>
    </w:p>
    <w:p>
      <w:pPr>
        <w:spacing w:after="0" w:line="128" w:lineRule="exact"/>
        <w:rPr>
          <w:rFonts w:ascii="Times New Roman" w:cs="Times New Roman" w:eastAsia="Times New Roman" w:hAnsi="Times New Roman"/>
          <w:sz w:val="16"/>
          <w:szCs w:val="16"/>
          <w:color w:val="auto"/>
        </w:rPr>
      </w:pPr>
    </w:p>
    <w:p>
      <w:pPr>
        <w:ind w:left="200" w:hanging="84"/>
        <w:spacing w:after="0"/>
        <w:tabs>
          <w:tab w:leader="none" w:pos="20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4.11*</w:t>
      </w:r>
      <w:r>
        <w:rPr>
          <w:rFonts w:ascii="Times New Roman" w:cs="Times New Roman" w:eastAsia="Times New Roman" w:hAnsi="Times New Roman"/>
          <w:sz w:val="17"/>
          <w:szCs w:val="17"/>
          <w:color w:val="auto"/>
        </w:rPr>
        <w:t>Form of Unit Agreement</w:t>
      </w:r>
    </w:p>
    <w:p>
      <w:pPr>
        <w:spacing w:after="0" w:line="128" w:lineRule="exact"/>
        <w:rPr>
          <w:rFonts w:ascii="Times New Roman" w:cs="Times New Roman" w:eastAsia="Times New Roman" w:hAnsi="Times New Roman"/>
          <w:sz w:val="16"/>
          <w:szCs w:val="16"/>
          <w:color w:val="auto"/>
        </w:rPr>
      </w:pPr>
    </w:p>
    <w:p>
      <w:pPr>
        <w:ind w:left="200" w:hanging="84"/>
        <w:spacing w:after="0"/>
        <w:tabs>
          <w:tab w:leader="none" w:pos="200" w:val="left"/>
        </w:tabs>
        <w:numPr>
          <w:ilvl w:val="0"/>
          <w:numId w:val="33"/>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6"/>
          <w:szCs w:val="16"/>
          <w:color w:val="auto"/>
        </w:rPr>
        <w:t>5.1#</w:t>
      </w:r>
      <w:hyperlink r:id="rId84">
        <w:r>
          <w:rPr>
            <w:rFonts w:ascii="Times New Roman" w:cs="Times New Roman" w:eastAsia="Times New Roman" w:hAnsi="Times New Roman"/>
            <w:sz w:val="17"/>
            <w:szCs w:val="17"/>
            <w:u w:val="single" w:color="auto"/>
            <w:color w:val="0000EE"/>
          </w:rPr>
          <w:t>Opinion of Cooley LLP</w:t>
        </w:r>
      </w:hyperlink>
    </w:p>
    <w:p>
      <w:pPr>
        <w:spacing w:after="0" w:line="115"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59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Consent of CohnReznick LLP, an Independent Registered Public Accounting Firm.</w:t>
            </w: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5980" w:type="dxa"/>
            <w:vAlign w:val="bottom"/>
            <w:gridSpan w:val="2"/>
          </w:tcPr>
          <w:p>
            <w:pPr>
              <w:spacing w:after="0"/>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Consent of Cooley LLP (included in Exhibit 5.1).</w:t>
              </w:r>
            </w:hyperlink>
          </w:p>
        </w:tc>
      </w:tr>
      <w:tr>
        <w:trPr>
          <w:trHeight w:val="385"/>
        </w:trPr>
        <w:tc>
          <w:tcPr>
            <w:tcW w:w="1000" w:type="dxa"/>
            <w:vAlign w:val="bottom"/>
          </w:tcPr>
          <w:p>
            <w:pPr>
              <w:spacing w:after="0"/>
              <w:rPr>
                <w:sz w:val="24"/>
                <w:szCs w:val="24"/>
                <w:color w:val="auto"/>
              </w:rPr>
            </w:pPr>
          </w:p>
        </w:tc>
        <w:tc>
          <w:tcPr>
            <w:tcW w:w="3560" w:type="dxa"/>
            <w:vAlign w:val="bottom"/>
            <w:tcBorders>
              <w:top w:val="single" w:sz="8" w:color="0000EE"/>
            </w:tcBorders>
          </w:tcPr>
          <w:p>
            <w:pPr>
              <w:spacing w:after="0"/>
              <w:rPr>
                <w:sz w:val="24"/>
                <w:szCs w:val="24"/>
                <w:color w:val="auto"/>
              </w:rPr>
            </w:pPr>
          </w:p>
        </w:tc>
        <w:tc>
          <w:tcPr>
            <w:tcW w:w="24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II-2</w:t>
            </w:r>
          </w:p>
        </w:tc>
      </w:tr>
    </w:tbl>
    <w:p>
      <w:pPr>
        <w:sectPr>
          <w:pgSz w:w="11900" w:h="16838" w:orient="portrait"/>
          <w:cols w:equalWidth="0" w:num="1">
            <w:col w:w="11140"/>
          </w:cols>
          <w:pgMar w:left="320" w:top="455" w:right="4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020" w:type="dxa"/>
            <w:vAlign w:val="bottom"/>
          </w:tcPr>
          <w:p>
            <w:pPr>
              <w:jc w:val="center"/>
              <w:ind w:right="2448"/>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200" w:type="dxa"/>
            <w:vAlign w:val="bottom"/>
            <w:vMerge w:val="restart"/>
          </w:tcPr>
          <w:p>
            <w:pPr>
              <w:ind w:left="2500"/>
              <w:spacing w:after="0"/>
              <w:rPr>
                <w:sz w:val="20"/>
                <w:szCs w:val="20"/>
                <w:color w:val="auto"/>
              </w:rPr>
            </w:pPr>
            <w:r>
              <w:rPr>
                <w:rFonts w:ascii="Times New Roman" w:cs="Times New Roman" w:eastAsia="Times New Roman" w:hAnsi="Times New Roman"/>
                <w:sz w:val="14"/>
                <w:szCs w:val="14"/>
                <w:b w:val="1"/>
                <w:bCs w:val="1"/>
                <w:color w:val="auto"/>
                <w:w w:val="98"/>
              </w:rPr>
              <w:t>Description</w:t>
            </w:r>
          </w:p>
        </w:tc>
        <w:tc>
          <w:tcPr>
            <w:tcW w:w="0" w:type="dxa"/>
            <w:vAlign w:val="bottom"/>
          </w:tcPr>
          <w:p>
            <w:pPr>
              <w:spacing w:after="0"/>
              <w:rPr>
                <w:sz w:val="1"/>
                <w:szCs w:val="1"/>
                <w:color w:val="auto"/>
              </w:rPr>
            </w:pPr>
          </w:p>
        </w:tc>
      </w:tr>
      <w:tr>
        <w:trPr>
          <w:trHeight w:val="190"/>
        </w:trPr>
        <w:tc>
          <w:tcPr>
            <w:tcW w:w="3020" w:type="dxa"/>
            <w:vAlign w:val="bottom"/>
          </w:tcPr>
          <w:p>
            <w:pPr>
              <w:jc w:val="center"/>
              <w:ind w:right="244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-10160</wp:posOffset>
            </wp:positionV>
            <wp:extent cx="699516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53" w:lineRule="exact"/>
        <w:rPr>
          <w:sz w:val="20"/>
          <w:szCs w:val="20"/>
          <w:color w:val="auto"/>
        </w:rPr>
      </w:pPr>
    </w:p>
    <w:p>
      <w:pPr>
        <w:ind w:left="120"/>
        <w:spacing w:after="0"/>
        <w:tabs>
          <w:tab w:leader="none" w:pos="9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24.1#</w:t>
      </w:r>
      <w:r>
        <w:rPr>
          <w:sz w:val="20"/>
          <w:szCs w:val="20"/>
          <w:color w:val="auto"/>
        </w:rPr>
        <w:tab/>
      </w:r>
      <w:hyperlink r:id="rId87">
        <w:r>
          <w:rPr>
            <w:rFonts w:ascii="Times New Roman" w:cs="Times New Roman" w:eastAsia="Times New Roman" w:hAnsi="Times New Roman"/>
            <w:sz w:val="18"/>
            <w:szCs w:val="18"/>
            <w:u w:val="single" w:color="auto"/>
            <w:color w:val="0000EE"/>
          </w:rPr>
          <w:t>Power of Attorney (included on the signature page).</w:t>
        </w:r>
      </w:hyperlink>
    </w:p>
    <w:p>
      <w:pPr>
        <w:spacing w:after="0" w:line="117" w:lineRule="exact"/>
        <w:rPr>
          <w:sz w:val="20"/>
          <w:szCs w:val="20"/>
          <w:color w:val="auto"/>
        </w:rPr>
      </w:pPr>
    </w:p>
    <w:p>
      <w:pPr>
        <w:ind w:left="120"/>
        <w:spacing w:after="0"/>
        <w:tabs>
          <w:tab w:leader="none" w:pos="980" w:val="left"/>
        </w:tabs>
        <w:rPr>
          <w:sz w:val="20"/>
          <w:szCs w:val="20"/>
          <w:color w:val="auto"/>
        </w:rPr>
      </w:pPr>
      <w:r>
        <w:rPr>
          <w:rFonts w:ascii="Times New Roman" w:cs="Times New Roman" w:eastAsia="Times New Roman" w:hAnsi="Times New Roman"/>
          <w:sz w:val="18"/>
          <w:szCs w:val="18"/>
          <w:color w:val="auto"/>
        </w:rPr>
        <w:t>25.1**</w:t>
      </w:r>
      <w:r>
        <w:rPr>
          <w:sz w:val="20"/>
          <w:szCs w:val="20"/>
          <w:color w:val="auto"/>
        </w:rPr>
        <w:tab/>
      </w:r>
      <w:r>
        <w:rPr>
          <w:rFonts w:ascii="Times New Roman" w:cs="Times New Roman" w:eastAsia="Times New Roman" w:hAnsi="Times New Roman"/>
          <w:sz w:val="17"/>
          <w:szCs w:val="17"/>
          <w:color w:val="auto"/>
        </w:rPr>
        <w:t>Statement of Eligibility of Trustee Under the Indenture.</w:t>
      </w:r>
    </w:p>
    <w:p>
      <w:pPr>
        <w:spacing w:after="0" w:line="117" w:lineRule="exact"/>
        <w:rPr>
          <w:sz w:val="20"/>
          <w:szCs w:val="20"/>
          <w:color w:val="auto"/>
        </w:rPr>
      </w:pPr>
    </w:p>
    <w:p>
      <w:pPr>
        <w:ind w:left="120"/>
        <w:spacing w:after="0"/>
        <w:tabs>
          <w:tab w:leader="none" w:pos="9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107#</w:t>
      </w:r>
      <w:r>
        <w:rPr>
          <w:sz w:val="20"/>
          <w:szCs w:val="20"/>
          <w:color w:val="auto"/>
        </w:rPr>
        <w:tab/>
      </w:r>
      <w:hyperlink r:id="rId88">
        <w:r>
          <w:rPr>
            <w:rFonts w:ascii="Times New Roman" w:cs="Times New Roman" w:eastAsia="Times New Roman" w:hAnsi="Times New Roman"/>
            <w:sz w:val="18"/>
            <w:szCs w:val="18"/>
            <w:u w:val="single" w:color="auto"/>
            <w:color w:val="0000EE"/>
          </w:rPr>
          <w:t>Filing Fee Table.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540" w:hanging="424"/>
        <w:spacing w:after="0"/>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by amendment or as an exhibit to a Current Report on Form 8-K and incorporated herein by reference, if applicable.</w:t>
      </w:r>
    </w:p>
    <w:p>
      <w:pPr>
        <w:spacing w:after="0" w:line="27" w:lineRule="exact"/>
        <w:rPr>
          <w:sz w:val="20"/>
          <w:szCs w:val="20"/>
          <w:color w:val="auto"/>
        </w:rPr>
      </w:pPr>
    </w:p>
    <w:p>
      <w:pPr>
        <w:ind w:left="540" w:right="380" w:hanging="424"/>
        <w:spacing w:after="0" w:line="250" w:lineRule="auto"/>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in accordance with the requirements of Section 305(b)(2) of the Trust Indenture Act of 1939, as amended, and the applicable rules thereunder.</w:t>
      </w:r>
    </w:p>
    <w:p>
      <w:pPr>
        <w:spacing w:after="0" w:line="1" w:lineRule="exact"/>
        <w:rPr>
          <w:sz w:val="20"/>
          <w:szCs w:val="20"/>
          <w:color w:val="auto"/>
        </w:rPr>
      </w:pPr>
    </w:p>
    <w:p>
      <w:pPr>
        <w:ind w:left="540" w:hanging="424"/>
        <w:spacing w:after="0"/>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sz w:val="20"/>
          <w:szCs w:val="20"/>
          <w:color w:val="auto"/>
        </w:rPr>
      </w:pPr>
    </w:p>
    <w:p>
      <w:pPr>
        <w:ind w:left="820" w:hanging="264"/>
        <w:spacing w:after="0"/>
        <w:tabs>
          <w:tab w:leader="none" w:pos="8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1320" w:hanging="213"/>
        <w:spacing w:after="0"/>
        <w:tabs>
          <w:tab w:leader="none" w:pos="13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225" w:lineRule="exact"/>
        <w:rPr>
          <w:rFonts w:ascii="Times New Roman" w:cs="Times New Roman" w:eastAsia="Times New Roman" w:hAnsi="Times New Roman"/>
          <w:sz w:val="18"/>
          <w:szCs w:val="18"/>
          <w:color w:val="auto"/>
        </w:rPr>
      </w:pPr>
    </w:p>
    <w:p>
      <w:pPr>
        <w:ind w:left="120" w:firstLine="987"/>
        <w:spacing w:after="0" w:line="256" w:lineRule="auto"/>
        <w:tabs>
          <w:tab w:leader="none" w:pos="1376"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87" w:lineRule="exact"/>
        <w:rPr>
          <w:rFonts w:ascii="Times New Roman" w:cs="Times New Roman" w:eastAsia="Times New Roman" w:hAnsi="Times New Roman"/>
          <w:sz w:val="18"/>
          <w:szCs w:val="18"/>
          <w:color w:val="auto"/>
        </w:rPr>
      </w:pPr>
    </w:p>
    <w:p>
      <w:pPr>
        <w:ind w:left="120" w:right="20" w:firstLine="987"/>
        <w:spacing w:after="0" w:line="282" w:lineRule="auto"/>
        <w:tabs>
          <w:tab w:leader="none" w:pos="1426"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0" w:lineRule="exact"/>
        <w:rPr>
          <w:sz w:val="20"/>
          <w:szCs w:val="20"/>
          <w:color w:val="auto"/>
        </w:rPr>
      </w:pPr>
    </w:p>
    <w:p>
      <w:pPr>
        <w:ind w:left="120" w:right="20" w:firstLine="991"/>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paragraphs (1)(i), (1)(ii) and (1)(iii) do not apply if the information required to be included in a post-effective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by those paragraphs is contained in reports filed with or furnished to the Commission by the registrant pursuant to Section 13 or 15(d) of the Securities Exchange Act of 1934 that are incorporated by reference in the registration statement, or is contained in a form of prospectus filed pursuant to Rule 424(b) that is part of the registration statement.</w:t>
      </w:r>
    </w:p>
    <w:p>
      <w:pPr>
        <w:spacing w:after="0" w:line="182" w:lineRule="exact"/>
        <w:rPr>
          <w:sz w:val="20"/>
          <w:szCs w:val="20"/>
          <w:color w:val="auto"/>
        </w:rPr>
      </w:pPr>
    </w:p>
    <w:p>
      <w:pPr>
        <w:ind w:left="120" w:right="80" w:firstLine="436"/>
        <w:spacing w:after="0" w:line="266" w:lineRule="auto"/>
        <w:tabs>
          <w:tab w:leader="none" w:pos="81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 xml:space="preserve">bona fide </w:t>
      </w:r>
      <w:r>
        <w:rPr>
          <w:rFonts w:ascii="Times New Roman" w:cs="Times New Roman" w:eastAsia="Times New Roman" w:hAnsi="Times New Roman"/>
          <w:sz w:val="18"/>
          <w:szCs w:val="18"/>
          <w:color w:val="auto"/>
        </w:rPr>
        <w:t>offering thereof.</w:t>
      </w:r>
    </w:p>
    <w:p>
      <w:pPr>
        <w:spacing w:after="0" w:line="175" w:lineRule="exact"/>
        <w:rPr>
          <w:rFonts w:ascii="Times New Roman" w:cs="Times New Roman" w:eastAsia="Times New Roman" w:hAnsi="Times New Roman"/>
          <w:sz w:val="18"/>
          <w:szCs w:val="18"/>
          <w:color w:val="auto"/>
        </w:rPr>
      </w:pPr>
    </w:p>
    <w:p>
      <w:pPr>
        <w:ind w:left="120" w:right="640" w:firstLine="436"/>
        <w:spacing w:after="0" w:line="282" w:lineRule="auto"/>
        <w:tabs>
          <w:tab w:leader="none" w:pos="81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of 1933 to any purchaser:</w:t>
      </w:r>
    </w:p>
    <w:p>
      <w:pPr>
        <w:spacing w:after="0" w:line="225" w:lineRule="exact"/>
        <w:rPr>
          <w:rFonts w:ascii="Times New Roman" w:cs="Times New Roman" w:eastAsia="Times New Roman" w:hAnsi="Times New Roman"/>
          <w:sz w:val="18"/>
          <w:szCs w:val="18"/>
          <w:color w:val="auto"/>
        </w:rPr>
      </w:pPr>
    </w:p>
    <w:p>
      <w:pPr>
        <w:ind w:left="120" w:right="80" w:firstLine="987"/>
        <w:spacing w:after="0" w:line="282" w:lineRule="auto"/>
        <w:tabs>
          <w:tab w:leader="none" w:pos="1326"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120"/>
          </w:cols>
          <w:pgMar w:left="320" w:top="45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987"/>
        <w:spacing w:after="0" w:line="253" w:lineRule="auto"/>
        <w:tabs>
          <w:tab w:leader="none" w:pos="1376"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91" w:lineRule="exact"/>
        <w:rPr>
          <w:rFonts w:ascii="Times New Roman" w:cs="Times New Roman" w:eastAsia="Times New Roman" w:hAnsi="Times New Roman"/>
          <w:sz w:val="18"/>
          <w:szCs w:val="18"/>
          <w:color w:val="auto"/>
        </w:rPr>
      </w:pPr>
    </w:p>
    <w:p>
      <w:pPr>
        <w:ind w:left="120" w:right="40" w:firstLine="436"/>
        <w:spacing w:after="0" w:line="258" w:lineRule="auto"/>
        <w:tabs>
          <w:tab w:leader="none" w:pos="81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3" w:lineRule="exact"/>
        <w:rPr>
          <w:rFonts w:ascii="Times New Roman" w:cs="Times New Roman" w:eastAsia="Times New Roman" w:hAnsi="Times New Roman"/>
          <w:sz w:val="18"/>
          <w:szCs w:val="18"/>
          <w:color w:val="auto"/>
        </w:rPr>
      </w:pPr>
    </w:p>
    <w:p>
      <w:pPr>
        <w:ind w:left="1320" w:hanging="213"/>
        <w:spacing w:after="0"/>
        <w:tabs>
          <w:tab w:leader="none" w:pos="13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424;</w:t>
      </w:r>
    </w:p>
    <w:p>
      <w:pPr>
        <w:spacing w:after="0" w:line="206" w:lineRule="exact"/>
        <w:rPr>
          <w:rFonts w:ascii="Times New Roman" w:cs="Times New Roman" w:eastAsia="Times New Roman" w:hAnsi="Times New Roman"/>
          <w:sz w:val="18"/>
          <w:szCs w:val="18"/>
          <w:color w:val="auto"/>
        </w:rPr>
      </w:pPr>
    </w:p>
    <w:p>
      <w:pPr>
        <w:ind w:left="120" w:right="100" w:firstLine="987"/>
        <w:spacing w:after="0" w:line="282" w:lineRule="auto"/>
        <w:tabs>
          <w:tab w:leader="none" w:pos="1376"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161" w:lineRule="exact"/>
        <w:rPr>
          <w:rFonts w:ascii="Times New Roman" w:cs="Times New Roman" w:eastAsia="Times New Roman" w:hAnsi="Times New Roman"/>
          <w:sz w:val="18"/>
          <w:szCs w:val="18"/>
          <w:color w:val="auto"/>
        </w:rPr>
      </w:pPr>
    </w:p>
    <w:p>
      <w:pPr>
        <w:ind w:left="120" w:right="600" w:firstLine="987"/>
        <w:spacing w:after="0" w:line="282" w:lineRule="auto"/>
        <w:tabs>
          <w:tab w:leader="none" w:pos="1426"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61" w:lineRule="exact"/>
        <w:rPr>
          <w:rFonts w:ascii="Times New Roman" w:cs="Times New Roman" w:eastAsia="Times New Roman" w:hAnsi="Times New Roman"/>
          <w:sz w:val="18"/>
          <w:szCs w:val="18"/>
          <w:color w:val="auto"/>
        </w:rPr>
      </w:pPr>
    </w:p>
    <w:p>
      <w:pPr>
        <w:ind w:left="1420" w:hanging="313"/>
        <w:spacing w:after="0"/>
        <w:tabs>
          <w:tab w:leader="none" w:pos="14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25" w:lineRule="exact"/>
        <w:rPr>
          <w:rFonts w:ascii="Times New Roman" w:cs="Times New Roman" w:eastAsia="Times New Roman" w:hAnsi="Times New Roman"/>
          <w:sz w:val="18"/>
          <w:szCs w:val="18"/>
          <w:color w:val="auto"/>
        </w:rPr>
      </w:pPr>
    </w:p>
    <w:p>
      <w:pPr>
        <w:ind w:left="120" w:right="120" w:firstLine="436"/>
        <w:spacing w:after="0" w:line="258" w:lineRule="auto"/>
        <w:tabs>
          <w:tab w:leader="none" w:pos="81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liability of the registrant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83" w:lineRule="exact"/>
        <w:rPr>
          <w:rFonts w:ascii="Times New Roman" w:cs="Times New Roman" w:eastAsia="Times New Roman" w:hAnsi="Times New Roman"/>
          <w:sz w:val="18"/>
          <w:szCs w:val="18"/>
          <w:color w:val="auto"/>
        </w:rPr>
      </w:pPr>
    </w:p>
    <w:p>
      <w:pPr>
        <w:ind w:left="120" w:firstLine="436"/>
        <w:spacing w:after="0" w:line="254" w:lineRule="auto"/>
        <w:tabs>
          <w:tab w:leader="none" w:pos="81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120"/>
          </w:cols>
          <w:pgMar w:left="320" w:top="455"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36"/>
        <w:spacing w:after="0" w:line="312" w:lineRule="auto"/>
        <w:tabs>
          <w:tab w:leader="none" w:pos="815"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file an application for the purpose of determining the eligibility of the trustee to act under subsection (a) of Section 310 of the Trust Indenture Act in accordance with the rules and regulations prescribed by the Commission under Section 305(b)(2) of the Trust Indenture Act.</w:t>
      </w:r>
    </w:p>
    <w:p>
      <w:pPr>
        <w:spacing w:after="0" w:line="7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0500"/>
          </w:cols>
          <w:pgMar w:left="320" w:top="455" w:right="10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New York, State of New York, on this 18th day of May, 2026.</w:t>
      </w:r>
    </w:p>
    <w:p>
      <w:pPr>
        <w:spacing w:after="0" w:line="19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IN8BIO, INC.</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William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William Ho</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0" w:lineRule="exact"/>
        <w:rPr>
          <w:sz w:val="20"/>
          <w:szCs w:val="20"/>
          <w:color w:val="auto"/>
        </w:rPr>
      </w:pPr>
    </w:p>
    <w:p>
      <w:pPr>
        <w:spacing w:after="0" w:line="23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below by the following persons in the capacities and on the dates indicated.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3740" w:type="dxa"/>
            <w:vAlign w:val="bottom"/>
          </w:tcPr>
          <w:p>
            <w:pPr>
              <w:ind w:left="158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5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460" w:type="dxa"/>
            <w:vAlign w:val="bottom"/>
          </w:tcPr>
          <w:p>
            <w:pPr>
              <w:jc w:val="center"/>
              <w:ind w:left="372"/>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15"/>
        </w:trPr>
        <w:tc>
          <w:tcPr>
            <w:tcW w:w="3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William Ho</w:t>
            </w: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460" w:type="dxa"/>
            <w:vAlign w:val="bottom"/>
          </w:tcPr>
          <w:p>
            <w:pPr>
              <w:jc w:val="center"/>
              <w:ind w:left="372"/>
              <w:spacing w:after="0"/>
              <w:rPr>
                <w:sz w:val="20"/>
                <w:szCs w:val="20"/>
                <w:color w:val="auto"/>
              </w:rPr>
            </w:pPr>
            <w:r>
              <w:rPr>
                <w:rFonts w:ascii="Times New Roman" w:cs="Times New Roman" w:eastAsia="Times New Roman" w:hAnsi="Times New Roman"/>
                <w:sz w:val="18"/>
                <w:szCs w:val="18"/>
                <w:color w:val="auto"/>
                <w:w w:val="99"/>
              </w:rPr>
              <w:t>May 18, 2026</w:t>
            </w:r>
          </w:p>
        </w:tc>
      </w:tr>
      <w:tr>
        <w:trPr>
          <w:trHeight w:val="228"/>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William Ho</w:t>
            </w: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Executive Officer</w:t>
            </w:r>
            <w:r>
              <w:rPr>
                <w:rFonts w:ascii="Times New Roman" w:cs="Times New Roman" w:eastAsia="Times New Roman" w:hAnsi="Times New Roman"/>
                <w:sz w:val="18"/>
                <w:szCs w:val="18"/>
                <w:color w:val="auto"/>
                <w:w w:val="99"/>
              </w:rPr>
              <w:t>)</w:t>
            </w:r>
          </w:p>
        </w:tc>
        <w:tc>
          <w:tcPr>
            <w:tcW w:w="1460" w:type="dxa"/>
            <w:vAlign w:val="bottom"/>
          </w:tcPr>
          <w:p>
            <w:pPr>
              <w:spacing w:after="0"/>
              <w:rPr>
                <w:sz w:val="19"/>
                <w:szCs w:val="19"/>
                <w:color w:val="auto"/>
              </w:rPr>
            </w:pPr>
          </w:p>
        </w:tc>
      </w:tr>
      <w:tr>
        <w:trPr>
          <w:trHeight w:val="427"/>
        </w:trPr>
        <w:tc>
          <w:tcPr>
            <w:tcW w:w="3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Patrick McCall</w:t>
            </w: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1460" w:type="dxa"/>
            <w:vAlign w:val="bottom"/>
          </w:tcPr>
          <w:p>
            <w:pPr>
              <w:jc w:val="center"/>
              <w:ind w:left="372"/>
              <w:spacing w:after="0"/>
              <w:rPr>
                <w:sz w:val="20"/>
                <w:szCs w:val="20"/>
                <w:color w:val="auto"/>
              </w:rPr>
            </w:pPr>
            <w:r>
              <w:rPr>
                <w:rFonts w:ascii="Times New Roman" w:cs="Times New Roman" w:eastAsia="Times New Roman" w:hAnsi="Times New Roman"/>
                <w:sz w:val="18"/>
                <w:szCs w:val="18"/>
                <w:color w:val="auto"/>
                <w:w w:val="99"/>
              </w:rPr>
              <w:t>May 18, 2026</w:t>
            </w:r>
          </w:p>
        </w:tc>
      </w:tr>
      <w:tr>
        <w:trPr>
          <w:trHeight w:val="228"/>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Patrick McCall</w:t>
            </w: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Financial Officer and Principal Accounting Officer</w:t>
            </w:r>
            <w:r>
              <w:rPr>
                <w:rFonts w:ascii="Times New Roman" w:cs="Times New Roman" w:eastAsia="Times New Roman" w:hAnsi="Times New Roman"/>
                <w:sz w:val="18"/>
                <w:szCs w:val="18"/>
                <w:color w:val="auto"/>
                <w:w w:val="99"/>
              </w:rPr>
              <w:t>)</w:t>
            </w:r>
          </w:p>
        </w:tc>
        <w:tc>
          <w:tcPr>
            <w:tcW w:w="1460" w:type="dxa"/>
            <w:vAlign w:val="bottom"/>
          </w:tcPr>
          <w:p>
            <w:pPr>
              <w:spacing w:after="0"/>
              <w:rPr>
                <w:sz w:val="19"/>
                <w:szCs w:val="19"/>
                <w:color w:val="auto"/>
              </w:rPr>
            </w:pPr>
          </w:p>
        </w:tc>
      </w:tr>
      <w:tr>
        <w:trPr>
          <w:trHeight w:val="427"/>
        </w:trPr>
        <w:tc>
          <w:tcPr>
            <w:tcW w:w="3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Interim Chairman of the Board of Directors</w:t>
            </w:r>
          </w:p>
        </w:tc>
        <w:tc>
          <w:tcPr>
            <w:tcW w:w="1460" w:type="dxa"/>
            <w:vAlign w:val="bottom"/>
          </w:tcPr>
          <w:p>
            <w:pPr>
              <w:jc w:val="center"/>
              <w:ind w:left="372"/>
              <w:spacing w:after="0"/>
              <w:rPr>
                <w:sz w:val="20"/>
                <w:szCs w:val="20"/>
                <w:color w:val="auto"/>
              </w:rPr>
            </w:pPr>
            <w:r>
              <w:rPr>
                <w:rFonts w:ascii="Times New Roman" w:cs="Times New Roman" w:eastAsia="Times New Roman" w:hAnsi="Times New Roman"/>
                <w:sz w:val="18"/>
                <w:szCs w:val="18"/>
                <w:color w:val="auto"/>
                <w:w w:val="99"/>
              </w:rPr>
              <w:t>May 18, 2026</w:t>
            </w:r>
          </w:p>
        </w:tc>
      </w:tr>
      <w:tr>
        <w:trPr>
          <w:trHeight w:val="228"/>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Jeremy R. Graff</w:t>
            </w:r>
          </w:p>
        </w:tc>
        <w:tc>
          <w:tcPr>
            <w:tcW w:w="53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427"/>
        </w:trPr>
        <w:tc>
          <w:tcPr>
            <w:tcW w:w="3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460" w:type="dxa"/>
            <w:vAlign w:val="bottom"/>
          </w:tcPr>
          <w:p>
            <w:pPr>
              <w:jc w:val="center"/>
              <w:ind w:left="372"/>
              <w:spacing w:after="0"/>
              <w:rPr>
                <w:sz w:val="20"/>
                <w:szCs w:val="20"/>
                <w:color w:val="auto"/>
              </w:rPr>
            </w:pPr>
            <w:r>
              <w:rPr>
                <w:rFonts w:ascii="Times New Roman" w:cs="Times New Roman" w:eastAsia="Times New Roman" w:hAnsi="Times New Roman"/>
                <w:sz w:val="18"/>
                <w:szCs w:val="18"/>
                <w:color w:val="auto"/>
                <w:w w:val="99"/>
              </w:rPr>
              <w:t>May 18, 2026</w:t>
            </w:r>
          </w:p>
        </w:tc>
      </w:tr>
      <w:tr>
        <w:trPr>
          <w:trHeight w:val="228"/>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Peter Brandt</w:t>
            </w:r>
          </w:p>
        </w:tc>
        <w:tc>
          <w:tcPr>
            <w:tcW w:w="53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427"/>
        </w:trPr>
        <w:tc>
          <w:tcPr>
            <w:tcW w:w="3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460" w:type="dxa"/>
            <w:vAlign w:val="bottom"/>
          </w:tcPr>
          <w:p>
            <w:pPr>
              <w:jc w:val="center"/>
              <w:ind w:left="372"/>
              <w:spacing w:after="0"/>
              <w:rPr>
                <w:sz w:val="20"/>
                <w:szCs w:val="20"/>
                <w:color w:val="auto"/>
              </w:rPr>
            </w:pPr>
            <w:r>
              <w:rPr>
                <w:rFonts w:ascii="Times New Roman" w:cs="Times New Roman" w:eastAsia="Times New Roman" w:hAnsi="Times New Roman"/>
                <w:sz w:val="18"/>
                <w:szCs w:val="18"/>
                <w:color w:val="auto"/>
                <w:w w:val="99"/>
              </w:rPr>
              <w:t>May 18, 2026</w:t>
            </w:r>
          </w:p>
        </w:tc>
      </w:tr>
      <w:tr>
        <w:trPr>
          <w:trHeight w:val="228"/>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Corinne Epperly</w:t>
            </w:r>
          </w:p>
        </w:tc>
        <w:tc>
          <w:tcPr>
            <w:tcW w:w="53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427"/>
        </w:trPr>
        <w:tc>
          <w:tcPr>
            <w:tcW w:w="3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460" w:type="dxa"/>
            <w:vAlign w:val="bottom"/>
          </w:tcPr>
          <w:p>
            <w:pPr>
              <w:jc w:val="center"/>
              <w:ind w:left="372"/>
              <w:spacing w:after="0"/>
              <w:rPr>
                <w:sz w:val="20"/>
                <w:szCs w:val="20"/>
                <w:color w:val="auto"/>
              </w:rPr>
            </w:pPr>
            <w:r>
              <w:rPr>
                <w:rFonts w:ascii="Times New Roman" w:cs="Times New Roman" w:eastAsia="Times New Roman" w:hAnsi="Times New Roman"/>
                <w:sz w:val="18"/>
                <w:szCs w:val="18"/>
                <w:color w:val="auto"/>
                <w:w w:val="99"/>
              </w:rPr>
              <w:t>May 18, 2026</w:t>
            </w:r>
          </w:p>
        </w:tc>
      </w:tr>
      <w:tr>
        <w:trPr>
          <w:trHeight w:val="228"/>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Emily T. Fairbairn</w:t>
            </w:r>
          </w:p>
        </w:tc>
        <w:tc>
          <w:tcPr>
            <w:tcW w:w="53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427"/>
        </w:trPr>
        <w:tc>
          <w:tcPr>
            <w:tcW w:w="3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460" w:type="dxa"/>
            <w:vAlign w:val="bottom"/>
          </w:tcPr>
          <w:p>
            <w:pPr>
              <w:jc w:val="center"/>
              <w:ind w:left="372"/>
              <w:spacing w:after="0"/>
              <w:rPr>
                <w:sz w:val="20"/>
                <w:szCs w:val="20"/>
                <w:color w:val="auto"/>
              </w:rPr>
            </w:pPr>
            <w:r>
              <w:rPr>
                <w:rFonts w:ascii="Times New Roman" w:cs="Times New Roman" w:eastAsia="Times New Roman" w:hAnsi="Times New Roman"/>
                <w:sz w:val="18"/>
                <w:szCs w:val="18"/>
                <w:color w:val="auto"/>
                <w:w w:val="99"/>
              </w:rPr>
              <w:t>May 18, 2026</w:t>
            </w:r>
          </w:p>
        </w:tc>
      </w:tr>
      <w:tr>
        <w:trPr>
          <w:trHeight w:val="228"/>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Luba Greenwood</w:t>
            </w:r>
          </w:p>
        </w:tc>
        <w:tc>
          <w:tcPr>
            <w:tcW w:w="5380" w:type="dxa"/>
            <w:vAlign w:val="bottom"/>
          </w:tcPr>
          <w:p>
            <w:pPr>
              <w:spacing w:after="0"/>
              <w:rPr>
                <w:sz w:val="19"/>
                <w:szCs w:val="19"/>
                <w:color w:val="auto"/>
              </w:rPr>
            </w:pPr>
          </w:p>
        </w:tc>
        <w:tc>
          <w:tcPr>
            <w:tcW w:w="1460" w:type="dxa"/>
            <w:vAlign w:val="bottom"/>
          </w:tcPr>
          <w:p>
            <w:pPr>
              <w:spacing w:after="0"/>
              <w:rPr>
                <w:sz w:val="19"/>
                <w:szCs w:val="19"/>
                <w:color w:val="auto"/>
              </w:rPr>
            </w:pPr>
          </w:p>
        </w:tc>
      </w:tr>
    </w:tbl>
    <w:p>
      <w:pPr>
        <w:spacing w:after="0" w:line="193" w:lineRule="exact"/>
        <w:rPr>
          <w:sz w:val="20"/>
          <w:szCs w:val="20"/>
          <w:color w:val="auto"/>
        </w:rPr>
      </w:pPr>
    </w:p>
    <w:p>
      <w:pPr>
        <w:ind w:left="120"/>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William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17145</wp:posOffset>
            </wp:positionV>
            <wp:extent cx="211709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4">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William Ho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Attorney-in-Fact</w:t>
      </w:r>
    </w:p>
    <w:p>
      <w:pPr>
        <w:sectPr>
          <w:pgSz w:w="11900" w:h="16838" w:orient="portrait"/>
          <w:cols w:equalWidth="0" w:num="1">
            <w:col w:w="10940"/>
          </w:cols>
          <w:pgMar w:left="320" w:top="455" w:right="6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consent to the incorporation by reference in this Amendment No.1 to the Registration Statement on Form S-3 (No. 333-291393) and related Prospectus, of our report dated March 12, 2026, with respect to the financial statements of IN8bio, Inc. as of December 31, 2025 and 2024, and for the years then ended, which report is included in the Annual Report on Form 10-K of IN8bio, Inc. for the year ended December 31, 2025 filed with the Securities and Exchange Commission. Our audit report includes an explanatory paragraph relating to IN8bio, Inc.’s ability to continue as a going concern.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consent to the reference to our firm under the caption “Experts”.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CohnReznick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18, 2026</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1)"/>
      <w:numFmt w:val="decimal"/>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 "/>
      <w:numFmt w:val="bullet"/>
      <w:start w:val="1"/>
    </w:lvl>
  </w:abstractNum>
  <w:abstractNum w:abstractNumId="33">
    <w:nsid w:val="7724C67E"/>
    <w:multiLevelType w:val="hybridMultilevel"/>
    <w:lvl w:ilvl="0">
      <w:lvlJc w:val="left"/>
      <w:lvlText w:val="*"/>
      <w:numFmt w:val="bullet"/>
      <w:start w:val="1"/>
    </w:lvl>
  </w:abstractNum>
  <w:abstractNum w:abstractNumId="34">
    <w:nsid w:val="5C482A97"/>
    <w:multiLevelType w:val="hybridMultilevel"/>
    <w:lvl w:ilvl="0">
      <w:lvlJc w:val="left"/>
      <w:lvlText w:val="**"/>
      <w:numFmt w:val="bullet"/>
      <w:start w:val="1"/>
    </w:lvl>
  </w:abstractNum>
  <w:abstractNum w:abstractNumId="35">
    <w:nsid w:val="2463B9EA"/>
    <w:multiLevelType w:val="hybridMultilevel"/>
    <w:lvl w:ilvl="0">
      <w:lvlJc w:val="left"/>
      <w:lvlText w:val="#"/>
      <w:numFmt w:val="bullet"/>
      <w:start w:val="1"/>
    </w:lvl>
  </w:abstractNum>
  <w:abstractNum w:abstractNumId="36">
    <w:nsid w:val="5E884ADC"/>
    <w:multiLevelType w:val="hybridMultilevel"/>
    <w:lvl w:ilvl="0">
      <w:lvlJc w:val="left"/>
      <w:lvlText w:val="(%1)"/>
      <w:numFmt w:val="decimal"/>
      <w:start w:val="1"/>
    </w:lvl>
    <w:lvl w:ilvl="1">
      <w:lvlJc w:val="left"/>
      <w:lvlText w:val="(%2)"/>
      <w:numFmt w:val="lowerRoman"/>
      <w:start w:val="1"/>
    </w:lvl>
  </w:abstractNum>
  <w:abstractNum w:abstractNumId="37">
    <w:nsid w:val="51EAD36B"/>
    <w:multiLevelType w:val="hybridMultilevel"/>
    <w:lvl w:ilvl="0">
      <w:lvlJc w:val="left"/>
      <w:lvlText w:val="(%1)"/>
      <w:numFmt w:val="decimal"/>
      <w:start w:val="2"/>
    </w:lvl>
    <w:lvl w:ilvl="1">
      <w:lvlJc w:val="left"/>
      <w:lvlText w:val="(%2)"/>
      <w:numFmt w:val="lowerRoman"/>
      <w:start w:val="1"/>
    </w:lvl>
  </w:abstractNum>
  <w:abstractNum w:abstractNumId="38">
    <w:nsid w:val="2D517796"/>
    <w:multiLevelType w:val="hybridMultilevel"/>
    <w:lvl w:ilvl="0">
      <w:lvlJc w:val="left"/>
      <w:lvlText w:val="%1"/>
      <w:numFmt w:val="decimal"/>
      <w:start w:val="1"/>
    </w:lvl>
    <w:lvl w:ilvl="1">
      <w:lvlJc w:val="left"/>
      <w:lvlText w:val="(%2)"/>
      <w:numFmt w:val="lowerRoman"/>
      <w:start w:val="2"/>
    </w:lvl>
  </w:abstractNum>
  <w:abstractNum w:abstractNumId="39">
    <w:nsid w:val="580BD78F"/>
    <w:multiLevelType w:val="hybridMultilevel"/>
    <w:lvl w:ilvl="0">
      <w:lvlJc w:val="left"/>
      <w:lvlText w:val="(%1)"/>
      <w:numFmt w:val="decimal"/>
      <w:start w:val="5"/>
    </w:lvl>
    <w:lvl w:ilvl="1">
      <w:lvlJc w:val="left"/>
      <w:lvlText w:val="(%2)"/>
      <w:numFmt w:val="lowerRoman"/>
      <w:start w:val="1"/>
    </w:lvl>
  </w:abstractNum>
  <w:abstractNum w:abstractNumId="40">
    <w:nsid w:val="153EA438"/>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73" Type="http://schemas.openxmlformats.org/officeDocument/2006/relationships/image" Target="media/image59.png"/><Relationship Id="rId74" Type="http://schemas.openxmlformats.org/officeDocument/2006/relationships/image" Target="media/image60.png"/><Relationship Id="rId75"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png"/><Relationship Id="rId78" Type="http://schemas.openxmlformats.org/officeDocument/2006/relationships/image" Target="media/image64.png"/><Relationship Id="rId79" Type="http://schemas.openxmlformats.org/officeDocument/2006/relationships/image" Target="media/image65.png"/><Relationship Id="rId85" Type="http://schemas.openxmlformats.org/officeDocument/2006/relationships/image" Target="media/image66.png"/><Relationship Id="rId86" Type="http://schemas.openxmlformats.org/officeDocument/2006/relationships/image" Target="media/image67.png"/><Relationship Id="rId89" Type="http://schemas.openxmlformats.org/officeDocument/2006/relationships/image" Target="media/image68.png"/><Relationship Id="rId90" Type="http://schemas.openxmlformats.org/officeDocument/2006/relationships/image" Target="media/image69.png"/><Relationship Id="rId91" Type="http://schemas.openxmlformats.org/officeDocument/2006/relationships/image" Target="media/image70.png"/><Relationship Id="rId92" Type="http://schemas.openxmlformats.org/officeDocument/2006/relationships/image" Target="media/image71.png"/><Relationship Id="rId93" Type="http://schemas.openxmlformats.org/officeDocument/2006/relationships/image" Target="media/image72.png"/><Relationship Id="rId94" Type="http://schemas.openxmlformats.org/officeDocument/2006/relationships/image" Target="media/image73.png"/><Relationship Id="rId63" Type="http://schemas.openxmlformats.org/officeDocument/2006/relationships/hyperlink" Target="http://www.sec.gov/ix?doc=/Archives/edgar/data/1740279/000119312526104181/inab-20251231.htm" TargetMode="External"/><Relationship Id="rId64" Type="http://schemas.openxmlformats.org/officeDocument/2006/relationships/hyperlink" Target="http://www.sec.gov/ix?doc=/Archives/edgar/data/1740279/000119312526126208/d26327ddef14a.htm" TargetMode="External"/><Relationship Id="rId65" Type="http://schemas.openxmlformats.org/officeDocument/2006/relationships/hyperlink" Target="http://www.sec.gov/ix?doc=/Archives/edgar/data/1740279/000119312526212135/inab-20260331.htm" TargetMode="External"/><Relationship Id="rId66" Type="http://schemas.openxmlformats.org/officeDocument/2006/relationships/hyperlink" Target="http://www.sec.gov/ix?doc=/Archives/edgar/data/0001740279/000119312525022711/d841361d8k.htm" TargetMode="External"/><Relationship Id="rId67" Type="http://schemas.openxmlformats.org/officeDocument/2006/relationships/hyperlink" Target="http://www.sec.gov/ix?doc=/Archives/edgar/data/1740279/000119312526082539/d915471d8k.htm" TargetMode="External"/><Relationship Id="rId68" Type="http://schemas.openxmlformats.org/officeDocument/2006/relationships/hyperlink" Target="http://www.sec.gov/ix?doc=/Archives/edgar/data/1740279/000119312526212128/inab-20260507.htm" TargetMode="External"/><Relationship Id="rId69" Type="http://schemas.openxmlformats.org/officeDocument/2006/relationships/hyperlink" Target="http://www.sec.gov/Archives/edgar/data/1740279/000119312526104181/inab-ex4_2.htm" TargetMode="External"/><Relationship Id="rId80" Type="http://schemas.openxmlformats.org/officeDocument/2006/relationships/hyperlink" Target="http://www.sec.gov/Archives/edgar/data/1740279/000110465921099436/tm2030088d31_ex3-1.htm" TargetMode="External"/><Relationship Id="rId81" Type="http://schemas.openxmlformats.org/officeDocument/2006/relationships/hyperlink" Target="http://www.sec.gov/Archives/edgar/data/1740279/000119312525134487/d927529dex31.htm" TargetMode="External"/><Relationship Id="rId82" Type="http://schemas.openxmlformats.org/officeDocument/2006/relationships/hyperlink" Target="http://www.sec.gov/Archives/edgar/data/1740279/000119312523290707/d634027dex31.htm" TargetMode="External"/><Relationship Id="rId83" Type="http://schemas.openxmlformats.org/officeDocument/2006/relationships/hyperlink" Target="http://www.sec.gov/Archives/edgar/data/1740279/000119312525272565/d73909dex45.htm" TargetMode="External"/><Relationship Id="rId84" Type="http://schemas.openxmlformats.org/officeDocument/2006/relationships/hyperlink" Target="http://www.sec.gov/Archives/edgar/data/1740279/000119312525272565/d73909dex51.htm" TargetMode="External"/><Relationship Id="rId87" Type="http://schemas.openxmlformats.org/officeDocument/2006/relationships/hyperlink" Target="http://www.sec.gov/Archives/edgar/data/1740279/000119312525272565/d73909ds3.htm#sig" TargetMode="External"/><Relationship Id="rId88" Type="http://schemas.openxmlformats.org/officeDocument/2006/relationships/hyperlink" Target="http://www.sec.gov/ix?doc=/Archives/edgar/data/1740279/000119312525272565/d73909dexfilingfe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2026-05-18T16:16:13Z</dcterms:created>
  <dcterms:modified xsi:type="dcterms:W3CDTF">2026-05-18T16:16:13Z</dcterms:modified>
</cp:coreProperties>
</file>